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380FD" w14:textId="77777777" w:rsidR="0074487D" w:rsidRDefault="0074487D">
      <w:pPr>
        <w:pStyle w:val="1"/>
      </w:pPr>
      <w:hyperlink r:id="rId5" w:history="1">
        <w:r>
          <w:rPr>
            <w:rStyle w:val="a4"/>
            <w:rFonts w:cs="Arial"/>
            <w:b w:val="0"/>
            <w:bCs w:val="0"/>
          </w:rPr>
          <w:t>Приказ Министерства транспорта РФ от 30 апреля 2020 г. N 157</w:t>
        </w:r>
        <w:r>
          <w:rPr>
            <w:rStyle w:val="a4"/>
            <w:rFonts w:cs="Arial"/>
            <w:b w:val="0"/>
            <w:bCs w:val="0"/>
          </w:rPr>
          <w:br/>
          <w:t>"О переносе сроков прохождения юридическими лицами, физическими лицами, индивидуальными предпринимателями процедур подтверждения соответствия обязательным требованиям в отношении отдельных форм разрешительной деятельности в сфере транспорта в период с 6 апреля 2020 г. до 31 декабря 2020 г."</w:t>
        </w:r>
      </w:hyperlink>
    </w:p>
    <w:p w14:paraId="6DB83ECD" w14:textId="77777777" w:rsidR="0074487D" w:rsidRDefault="0074487D"/>
    <w:p w14:paraId="504E36F5" w14:textId="77777777" w:rsidR="0074487D" w:rsidRDefault="0074487D">
      <w:r>
        <w:t xml:space="preserve">В соответствии с </w:t>
      </w:r>
      <w:hyperlink r:id="rId6" w:history="1">
        <w:r>
          <w:rPr>
            <w:rStyle w:val="a4"/>
            <w:rFonts w:cs="Arial"/>
          </w:rPr>
          <w:t>пунктом 2</w:t>
        </w:r>
      </w:hyperlink>
      <w:r>
        <w:t xml:space="preserve"> постановления Правительства Российской Федерации от 3 апреля 2020 г. N 440 "О продлении действия разрешений и иных особенностях в отношении разрешительной деятельности в 2020 году" (официальный интернет-портал правовой информации (</w:t>
      </w:r>
      <w:hyperlink r:id="rId7" w:history="1">
        <w:r>
          <w:rPr>
            <w:rStyle w:val="a4"/>
            <w:rFonts w:cs="Arial"/>
          </w:rPr>
          <w:t>www.pravo.gov.ru</w:t>
        </w:r>
      </w:hyperlink>
      <w:r>
        <w:t xml:space="preserve">), 2020, 6 апреля, N 0001202004060049, 2020, 23 апреля, N 0001202004230018) и </w:t>
      </w:r>
      <w:hyperlink r:id="rId8" w:history="1">
        <w:r>
          <w:rPr>
            <w:rStyle w:val="a4"/>
            <w:rFonts w:cs="Arial"/>
          </w:rPr>
          <w:t>пунктом 2</w:t>
        </w:r>
      </w:hyperlink>
      <w:r>
        <w:t xml:space="preserve"> особенностей применения разрешительных режимов, предусмотренных </w:t>
      </w:r>
      <w:hyperlink r:id="rId9" w:history="1">
        <w:r>
          <w:rPr>
            <w:rStyle w:val="a4"/>
            <w:rFonts w:cs="Arial"/>
          </w:rPr>
          <w:t>Воздушным кодексом</w:t>
        </w:r>
      </w:hyperlink>
      <w:r>
        <w:t xml:space="preserve"> Российской Федерации, установленных в приложении N 12 к постановлению Правительства Российской Федерации от 3 апреля 2020 г. N 440, приказываю:</w:t>
      </w:r>
    </w:p>
    <w:p w14:paraId="639F31D7" w14:textId="77777777" w:rsidR="0074487D" w:rsidRDefault="0074487D">
      <w:bookmarkStart w:id="0" w:name="sub_1"/>
      <w:r>
        <w:t xml:space="preserve">1. Установить, что в отношении форм разрешительной деятельности по перечню согласно </w:t>
      </w:r>
      <w:hyperlink w:anchor="sub_1000" w:history="1">
        <w:r>
          <w:rPr>
            <w:rStyle w:val="a4"/>
            <w:rFonts w:cs="Arial"/>
          </w:rPr>
          <w:t>приложению</w:t>
        </w:r>
      </w:hyperlink>
      <w:r>
        <w:t xml:space="preserve"> к настоящему приказу при наступлении в период с 6 апреля до 31 декабря 2020 г. срока подтверждения соответствия юридического лица, физического лица, индивидуального предпринимателя обязательным требованиям, предусматривающим переоформление разрешения или периодическое подтверждение соответствия (компетентности), повторную аккредитацию, переаттестацию, сроки прохождения данных процедур переносятся на 12 месяцев.</w:t>
      </w:r>
    </w:p>
    <w:p w14:paraId="6D47E0F7" w14:textId="77777777" w:rsidR="0074487D" w:rsidRDefault="0074487D">
      <w:bookmarkStart w:id="1" w:name="sub_2"/>
      <w:bookmarkEnd w:id="0"/>
      <w:r>
        <w:t>2. Продлить на 90 дней с возможностью дальнейшего продления на следующие 90 дней в случаях сохранения режима повышенной готовности или чрезвычайной ситуации:</w:t>
      </w:r>
    </w:p>
    <w:p w14:paraId="798E5817" w14:textId="77777777" w:rsidR="0074487D" w:rsidRDefault="0074487D">
      <w:bookmarkStart w:id="2" w:name="sub_21"/>
      <w:bookmarkEnd w:id="1"/>
      <w:r>
        <w:t>а) сроки действия медицинских заключений специалистов авиационного персонала гражданской авиации;</w:t>
      </w:r>
    </w:p>
    <w:p w14:paraId="64D66E01" w14:textId="77777777" w:rsidR="0074487D" w:rsidRDefault="0074487D">
      <w:bookmarkStart w:id="3" w:name="sub_22"/>
      <w:bookmarkEnd w:id="2"/>
      <w:r>
        <w:t>б) сроки прохождения периодической подготовки сотрудниками служб авиационной безопасности для выполнения возложенных на них обязанностей;</w:t>
      </w:r>
    </w:p>
    <w:p w14:paraId="1146FBC0" w14:textId="77777777" w:rsidR="0074487D" w:rsidRDefault="0074487D">
      <w:bookmarkStart w:id="4" w:name="sub_23"/>
      <w:bookmarkEnd w:id="3"/>
      <w:r>
        <w:t>в) сроки прохождения периодической подготовки специалистами авиационного персонала согласно перечню авиационных специалистов гражданской авиации для допуска к выполнению возложенных на них обязанностей.</w:t>
      </w:r>
    </w:p>
    <w:p w14:paraId="6B34B0FD" w14:textId="77777777" w:rsidR="0074487D" w:rsidRDefault="0074487D">
      <w:bookmarkStart w:id="5" w:name="sub_3"/>
      <w:bookmarkEnd w:id="4"/>
      <w:r>
        <w:t>3. Установить, что:</w:t>
      </w:r>
    </w:p>
    <w:p w14:paraId="5F76DB9C" w14:textId="77777777" w:rsidR="0074487D" w:rsidRDefault="0074487D">
      <w:bookmarkStart w:id="6" w:name="sub_31"/>
      <w:bookmarkEnd w:id="5"/>
      <w:r>
        <w:t>а) сроки прохождения диспетчерами управления воздушным движением курсов повышения квалификации и языковой аттестации по английскому языку переносятся на 9 месяцев;</w:t>
      </w:r>
    </w:p>
    <w:p w14:paraId="6DD3D9B1" w14:textId="77777777" w:rsidR="0074487D" w:rsidRDefault="0074487D">
      <w:bookmarkStart w:id="7" w:name="sub_32"/>
      <w:bookmarkEnd w:id="6"/>
      <w:r>
        <w:t>б) сроки действия сертификатов летной годности экземпляров воздушных судов на основе документарной проверки и представляемых фото- и видеоматериалов продлеваются поэтапно на 90 дней до 31 декабря 2020 г.;</w:t>
      </w:r>
    </w:p>
    <w:p w14:paraId="73535C53" w14:textId="77777777" w:rsidR="0074487D" w:rsidRDefault="0074487D">
      <w:bookmarkStart w:id="8" w:name="sub_33"/>
      <w:bookmarkEnd w:id="7"/>
      <w:r>
        <w:t xml:space="preserve">в) в период действия режима повышенной готовности или чрезвычайной ситуации члены экипажей воздушных судов проходят теоретический этап подготовки и контроля знаний, предусмотренный программами подготовки, с </w:t>
      </w:r>
      <w:r>
        <w:lastRenderedPageBreak/>
        <w:t>применением средств электронного обучения и дистанционных образовательных технологий;</w:t>
      </w:r>
    </w:p>
    <w:p w14:paraId="6009D443" w14:textId="77777777" w:rsidR="0074487D" w:rsidRDefault="0074487D">
      <w:bookmarkStart w:id="9" w:name="sub_34"/>
      <w:bookmarkEnd w:id="8"/>
      <w:r>
        <w:t>г) в период действия режима повышенной готовности или чрезвычайной ситуации при контроле уровня знаний диспетчеров управления воздушным движением применяются дистанционные технологии.</w:t>
      </w:r>
    </w:p>
    <w:p w14:paraId="7420EEC5" w14:textId="77777777" w:rsidR="0074487D" w:rsidRDefault="0074487D">
      <w:bookmarkStart w:id="10" w:name="sub_4"/>
      <w:bookmarkEnd w:id="9"/>
      <w:r>
        <w:t xml:space="preserve">4. Федеральной службе и федеральным агентствам, подведомственным Министерству транспорта Российской Федерации, в течение 3 рабочих дней со дня </w:t>
      </w:r>
      <w:hyperlink r:id="rId10" w:history="1">
        <w:r>
          <w:rPr>
            <w:rStyle w:val="a4"/>
            <w:rFonts w:cs="Arial"/>
          </w:rPr>
          <w:t>вступления в силу</w:t>
        </w:r>
      </w:hyperlink>
      <w:r>
        <w:t xml:space="preserve"> настоящего приказа внести изменения в соответствующие реестры и разместить на официальных сайтах указанных федеральной службы и федеральных агентств в информационно-телекоммуникационной сети "Интернет" информацию о переносе сроков прохождения юридическими лицами, физическими лицами, индивидуальными предпринимателями процедур согласно </w:t>
      </w:r>
      <w:hyperlink w:anchor="sub_1" w:history="1">
        <w:r>
          <w:rPr>
            <w:rStyle w:val="a4"/>
            <w:rFonts w:cs="Arial"/>
          </w:rPr>
          <w:t>пункту 1</w:t>
        </w:r>
      </w:hyperlink>
      <w:r>
        <w:t xml:space="preserve"> настоящего приказа.</w:t>
      </w:r>
    </w:p>
    <w:bookmarkEnd w:id="10"/>
    <w:p w14:paraId="2E74F301" w14:textId="77777777" w:rsidR="0074487D" w:rsidRDefault="0074487D"/>
    <w:tbl>
      <w:tblPr>
        <w:tblW w:w="0" w:type="auto"/>
        <w:tblInd w:w="108" w:type="dxa"/>
        <w:tblLook w:val="0000" w:firstRow="0" w:lastRow="0" w:firstColumn="0" w:lastColumn="0" w:noHBand="0" w:noVBand="0"/>
      </w:tblPr>
      <w:tblGrid>
        <w:gridCol w:w="6786"/>
        <w:gridCol w:w="3406"/>
      </w:tblGrid>
      <w:tr w:rsidR="0074487D" w14:paraId="3D333A82" w14:textId="77777777">
        <w:tblPrEx>
          <w:tblCellMar>
            <w:top w:w="0" w:type="dxa"/>
            <w:bottom w:w="0" w:type="dxa"/>
          </w:tblCellMar>
        </w:tblPrEx>
        <w:tc>
          <w:tcPr>
            <w:tcW w:w="6867" w:type="dxa"/>
            <w:tcBorders>
              <w:top w:val="nil"/>
              <w:left w:val="nil"/>
              <w:bottom w:val="nil"/>
              <w:right w:val="nil"/>
            </w:tcBorders>
          </w:tcPr>
          <w:p w14:paraId="579B3585" w14:textId="77777777" w:rsidR="0074487D" w:rsidRDefault="0074487D">
            <w:pPr>
              <w:pStyle w:val="a6"/>
            </w:pPr>
            <w:r>
              <w:t>Министр</w:t>
            </w:r>
          </w:p>
        </w:tc>
        <w:tc>
          <w:tcPr>
            <w:tcW w:w="3432" w:type="dxa"/>
            <w:tcBorders>
              <w:top w:val="nil"/>
              <w:left w:val="nil"/>
              <w:bottom w:val="nil"/>
              <w:right w:val="nil"/>
            </w:tcBorders>
          </w:tcPr>
          <w:p w14:paraId="78610615" w14:textId="77777777" w:rsidR="0074487D" w:rsidRDefault="0074487D">
            <w:pPr>
              <w:pStyle w:val="a5"/>
              <w:jc w:val="right"/>
            </w:pPr>
            <w:r>
              <w:t>Е.И. Дитрих</w:t>
            </w:r>
          </w:p>
        </w:tc>
      </w:tr>
    </w:tbl>
    <w:p w14:paraId="71584FD6" w14:textId="77777777" w:rsidR="0074487D" w:rsidRDefault="0074487D"/>
    <w:p w14:paraId="63FBB0F0" w14:textId="77777777" w:rsidR="0074487D" w:rsidRDefault="0074487D">
      <w:pPr>
        <w:pStyle w:val="a6"/>
      </w:pPr>
      <w:r>
        <w:t>Зарегистрировано в Минюсте РФ 14 мая 2020 г.</w:t>
      </w:r>
    </w:p>
    <w:p w14:paraId="49BFCC1E" w14:textId="77777777" w:rsidR="0074487D" w:rsidRDefault="0074487D">
      <w:pPr>
        <w:pStyle w:val="a6"/>
      </w:pPr>
      <w:r>
        <w:t>Регистрационный N 58349</w:t>
      </w:r>
    </w:p>
    <w:p w14:paraId="5E066813" w14:textId="77777777" w:rsidR="0074487D" w:rsidRDefault="0074487D"/>
    <w:p w14:paraId="36D37E30" w14:textId="77777777" w:rsidR="0074487D" w:rsidRDefault="0074487D">
      <w:pPr>
        <w:ind w:firstLine="698"/>
        <w:jc w:val="right"/>
      </w:pPr>
      <w:bookmarkStart w:id="11" w:name="sub_1000"/>
      <w:r>
        <w:rPr>
          <w:rStyle w:val="a3"/>
          <w:bCs/>
        </w:rPr>
        <w:t>ПРИЛОЖЕНИЕ</w:t>
      </w:r>
      <w:r>
        <w:rPr>
          <w:rStyle w:val="a3"/>
          <w:bCs/>
        </w:rPr>
        <w:br/>
        <w:t xml:space="preserve">к </w:t>
      </w:r>
      <w:hyperlink w:anchor="sub_0" w:history="1">
        <w:r>
          <w:rPr>
            <w:rStyle w:val="a4"/>
            <w:rFonts w:cs="Arial"/>
          </w:rPr>
          <w:t>приказу</w:t>
        </w:r>
      </w:hyperlink>
      <w:r>
        <w:rPr>
          <w:rStyle w:val="a3"/>
          <w:bCs/>
        </w:rPr>
        <w:t xml:space="preserve"> Минтранса России</w:t>
      </w:r>
      <w:r>
        <w:rPr>
          <w:rStyle w:val="a3"/>
          <w:bCs/>
        </w:rPr>
        <w:br/>
        <w:t>от 30 апреля 2020 г. N 157</w:t>
      </w:r>
    </w:p>
    <w:bookmarkEnd w:id="11"/>
    <w:p w14:paraId="6A9CD6BE" w14:textId="77777777" w:rsidR="0074487D" w:rsidRDefault="0074487D"/>
    <w:p w14:paraId="1DE73907" w14:textId="77777777" w:rsidR="0074487D" w:rsidRDefault="0074487D">
      <w:pPr>
        <w:pStyle w:val="1"/>
      </w:pPr>
      <w:r>
        <w:t>Перечень</w:t>
      </w:r>
      <w:r>
        <w:br/>
        <w:t>форм разрешительной деятельности</w:t>
      </w:r>
    </w:p>
    <w:p w14:paraId="4A837AA3" w14:textId="77777777" w:rsidR="0074487D" w:rsidRDefault="0074487D"/>
    <w:p w14:paraId="3104A8CA" w14:textId="77777777" w:rsidR="0074487D" w:rsidRDefault="0074487D">
      <w:bookmarkStart w:id="12" w:name="sub_1001"/>
      <w:r>
        <w:t>1. Аккредитация юридических лиц в качестве подразделений транспортной безопасности.</w:t>
      </w:r>
    </w:p>
    <w:p w14:paraId="1ACC249A" w14:textId="77777777" w:rsidR="0074487D" w:rsidRDefault="0074487D">
      <w:bookmarkStart w:id="13" w:name="sub_1002"/>
      <w:bookmarkEnd w:id="12"/>
      <w:r>
        <w:t>2. Аккредитация юридических лиц для проведения проверки в целях принятия органами аттестации решения об аттестации сил обеспечения транспортной безопасности, а также для обработки персональных данных отдельных категорий лиц, принимаемых на работу, непосредственно связанную с обеспечением транспортной безопасности, или осуществляющих такую работу.</w:t>
      </w:r>
    </w:p>
    <w:p w14:paraId="24A4EBE8" w14:textId="77777777" w:rsidR="0074487D" w:rsidRDefault="0074487D">
      <w:bookmarkStart w:id="14" w:name="sub_1003"/>
      <w:bookmarkEnd w:id="13"/>
      <w:r>
        <w:t>3. Аккредитация юридических лиц для проведения оценки уязвимости объектов транспортной инфраструктуры и транспортных средств.</w:t>
      </w:r>
    </w:p>
    <w:p w14:paraId="65FAF374" w14:textId="77777777" w:rsidR="0074487D" w:rsidRDefault="0074487D">
      <w:bookmarkStart w:id="15" w:name="sub_1004"/>
      <w:bookmarkEnd w:id="14"/>
      <w:r>
        <w:t>4. Аттестация должностных лиц, осуществляющих деятельность в области оценки пожарного риска.</w:t>
      </w:r>
    </w:p>
    <w:p w14:paraId="675A909D" w14:textId="77777777" w:rsidR="0074487D" w:rsidRDefault="0074487D">
      <w:bookmarkStart w:id="16" w:name="sub_1005"/>
      <w:bookmarkEnd w:id="15"/>
      <w:r>
        <w:t>5. Допуск российских перевозчиков к осуществлению международных автомобильных перевозок.</w:t>
      </w:r>
    </w:p>
    <w:p w14:paraId="186AD152" w14:textId="77777777" w:rsidR="0074487D" w:rsidRDefault="0074487D">
      <w:bookmarkStart w:id="17" w:name="sub_1006"/>
      <w:bookmarkEnd w:id="16"/>
      <w:r>
        <w:t>6. Аттестация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14:paraId="54ECFB0C" w14:textId="77777777" w:rsidR="0074487D" w:rsidRDefault="0074487D">
      <w:bookmarkStart w:id="18" w:name="sub_1007"/>
      <w:bookmarkEnd w:id="17"/>
      <w:r>
        <w:t>7. Аттестация сил обеспечения транспортной безопасности.</w:t>
      </w:r>
    </w:p>
    <w:bookmarkEnd w:id="18"/>
    <w:p w14:paraId="2267E768" w14:textId="77777777" w:rsidR="0074487D" w:rsidRDefault="0074487D"/>
    <w:sectPr w:rsidR="0074487D">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6C0"/>
    <w:rsid w:val="005944E3"/>
    <w:rsid w:val="007026C0"/>
    <w:rsid w:val="00744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A51C59"/>
  <w14:defaultImageDpi w14:val="0"/>
  <w15:docId w15:val="{149F5E58-2D66-4318-B33D-EFBC694BC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92.168.176.13/document?id=73750810&amp;sub=12002" TargetMode="External"/><Relationship Id="rId3" Type="http://schemas.openxmlformats.org/officeDocument/2006/relationships/settings" Target="settings.xml"/><Relationship Id="rId7" Type="http://schemas.openxmlformats.org/officeDocument/2006/relationships/hyperlink" Target="http://192.168.176.13/document?id=890941&amp;sub=314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92.168.176.13/document?id=73750810&amp;sub=2" TargetMode="External"/><Relationship Id="rId11" Type="http://schemas.openxmlformats.org/officeDocument/2006/relationships/fontTable" Target="fontTable.xml"/><Relationship Id="rId5" Type="http://schemas.openxmlformats.org/officeDocument/2006/relationships/hyperlink" Target="http://192.168.176.13/document?id=73919768&amp;sub=0" TargetMode="External"/><Relationship Id="rId10" Type="http://schemas.openxmlformats.org/officeDocument/2006/relationships/hyperlink" Target="http://192.168.176.13/document?id=73919769&amp;sub=0" TargetMode="External"/><Relationship Id="rId4" Type="http://schemas.openxmlformats.org/officeDocument/2006/relationships/webSettings" Target="webSettings.xml"/><Relationship Id="rId9" Type="http://schemas.openxmlformats.org/officeDocument/2006/relationships/hyperlink" Target="http://192.168.176.13/document?id=10100300&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4336</Characters>
  <Application>Microsoft Office Word</Application>
  <DocSecurity>0</DocSecurity>
  <Lines>36</Lines>
  <Paragraphs>10</Paragraphs>
  <ScaleCrop>false</ScaleCrop>
  <Company>НПП "Гарант-Сервис"</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Евгений Антипов</cp:lastModifiedBy>
  <cp:revision>2</cp:revision>
  <dcterms:created xsi:type="dcterms:W3CDTF">2020-05-25T09:40:00Z</dcterms:created>
  <dcterms:modified xsi:type="dcterms:W3CDTF">2020-05-25T09:40:00Z</dcterms:modified>
</cp:coreProperties>
</file>