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D805" w14:textId="35005D0D" w:rsidR="0028105F" w:rsidRDefault="00582B69" w:rsidP="00F120ED">
      <w:pPr>
        <w:jc w:val="center"/>
        <w:rPr>
          <w:b/>
          <w:bCs/>
        </w:rPr>
      </w:pPr>
      <w:r>
        <w:rPr>
          <w:b/>
          <w:bCs/>
        </w:rPr>
        <w:t>Уточнения по правилам транзитного проезда</w:t>
      </w:r>
    </w:p>
    <w:p w14:paraId="69FE9B67" w14:textId="6B44A8D8" w:rsidR="00582B69" w:rsidRDefault="00582B69" w:rsidP="00F120ED">
      <w:pPr>
        <w:jc w:val="center"/>
        <w:rPr>
          <w:b/>
          <w:bCs/>
        </w:rPr>
      </w:pPr>
      <w:r>
        <w:rPr>
          <w:b/>
          <w:bCs/>
        </w:rPr>
        <w:t>для иностранных автоперевозчиков,</w:t>
      </w:r>
    </w:p>
    <w:p w14:paraId="440E5058" w14:textId="076D8A49" w:rsidR="00582B69" w:rsidRPr="00F120ED" w:rsidRDefault="00582B69" w:rsidP="00F120ED">
      <w:pPr>
        <w:jc w:val="center"/>
        <w:rPr>
          <w:b/>
          <w:bCs/>
        </w:rPr>
      </w:pPr>
      <w:r>
        <w:rPr>
          <w:b/>
          <w:bCs/>
        </w:rPr>
        <w:t>вступающий в силу с 01 июня 2022 года</w:t>
      </w:r>
    </w:p>
    <w:p w14:paraId="7A3DA97C" w14:textId="2A9BEA5E" w:rsidR="0021037A" w:rsidRDefault="0021037A" w:rsidP="00F120ED"/>
    <w:p w14:paraId="3A7AD66A" w14:textId="42527109" w:rsidR="0021037A" w:rsidRPr="00582B69" w:rsidRDefault="0021037A" w:rsidP="00582B69">
      <w:pPr>
        <w:pStyle w:val="ListParagraph"/>
        <w:numPr>
          <w:ilvl w:val="0"/>
          <w:numId w:val="1"/>
        </w:numPr>
        <w:ind w:left="426"/>
      </w:pPr>
      <w:r w:rsidRPr="00582B69">
        <w:t>Признаются ли все вакцины?</w:t>
      </w:r>
    </w:p>
    <w:p w14:paraId="6FC734CB" w14:textId="064E8B08" w:rsidR="0021037A" w:rsidRDefault="0021037A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21037A" w14:paraId="226ACC1E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08F10C20" w14:textId="14376092" w:rsidR="0021037A" w:rsidRDefault="0021037A" w:rsidP="00F120ED">
            <w:r>
              <w:t>Да, все вакцины без исключения признаются.</w:t>
            </w:r>
          </w:p>
        </w:tc>
      </w:tr>
    </w:tbl>
    <w:p w14:paraId="0E385739" w14:textId="0145B329" w:rsidR="0021037A" w:rsidRDefault="0021037A" w:rsidP="00F120ED"/>
    <w:p w14:paraId="3BADF62C" w14:textId="0F44E3A0" w:rsidR="0021037A" w:rsidRPr="00582B69" w:rsidRDefault="0021037A" w:rsidP="00582B69">
      <w:pPr>
        <w:pStyle w:val="ListParagraph"/>
        <w:numPr>
          <w:ilvl w:val="0"/>
          <w:numId w:val="1"/>
        </w:numPr>
        <w:ind w:left="426"/>
      </w:pPr>
      <w:r w:rsidRPr="00582B69">
        <w:t>В правилах перечислены 3 документа (справки): о вакцинации, о наличии антител, и ПЦР-тест. Нужно ли иметь все 3 сразу или только первый и третий? Второй документ (наличие антител) автоматически предусматривается справкой о вакцинации.</w:t>
      </w:r>
    </w:p>
    <w:p w14:paraId="1BC9D033" w14:textId="77777777" w:rsidR="0021037A" w:rsidRDefault="0021037A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21037A" w14:paraId="7A8491FE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284502AE" w14:textId="6192B785" w:rsidR="0021037A" w:rsidRDefault="0021037A" w:rsidP="00F120ED">
            <w:r>
              <w:t>Основным требованием является наличие справки о вакцинации</w:t>
            </w:r>
            <w:r w:rsidR="00582B69">
              <w:t xml:space="preserve"> (на менее 42 дней со дня последней вакцинации)</w:t>
            </w:r>
            <w:r>
              <w:t xml:space="preserve"> и ПЦР-теста</w:t>
            </w:r>
            <w:r w:rsidR="00582B69">
              <w:t xml:space="preserve"> (</w:t>
            </w:r>
            <w:r>
              <w:t>не более 72 часов назад</w:t>
            </w:r>
            <w:r w:rsidR="00582B69">
              <w:t>)</w:t>
            </w:r>
            <w:r>
              <w:t>.</w:t>
            </w:r>
          </w:p>
        </w:tc>
      </w:tr>
    </w:tbl>
    <w:p w14:paraId="4AE1B3BC" w14:textId="77777777" w:rsidR="0021037A" w:rsidRDefault="0021037A" w:rsidP="00F120ED"/>
    <w:p w14:paraId="60AFBFA8" w14:textId="1775B030" w:rsidR="0021037A" w:rsidRDefault="0021037A" w:rsidP="009F3BAE">
      <w:pPr>
        <w:pStyle w:val="ListParagraph"/>
        <w:numPr>
          <w:ilvl w:val="0"/>
          <w:numId w:val="1"/>
        </w:numPr>
        <w:ind w:left="426"/>
      </w:pPr>
      <w:r w:rsidRPr="0021037A">
        <w:t>Сколько времени займет получение ответа экспресс ПЦР-теста на границе?</w:t>
      </w:r>
    </w:p>
    <w:p w14:paraId="51586C6B" w14:textId="77777777" w:rsidR="0021037A" w:rsidRDefault="0021037A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21037A" w14:paraId="7824603E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48441D49" w14:textId="75B548F8" w:rsidR="0021037A" w:rsidRDefault="00582B69" w:rsidP="00F120ED">
            <w:r>
              <w:t>15-20</w:t>
            </w:r>
            <w:r w:rsidR="0021037A">
              <w:t xml:space="preserve"> минут</w:t>
            </w:r>
          </w:p>
        </w:tc>
      </w:tr>
    </w:tbl>
    <w:p w14:paraId="662EA653" w14:textId="77777777" w:rsidR="0021037A" w:rsidRDefault="0021037A" w:rsidP="00F120ED"/>
    <w:p w14:paraId="26AFB7C3" w14:textId="3DBB1FFC" w:rsidR="0021037A" w:rsidRDefault="0021037A" w:rsidP="009F3BAE">
      <w:pPr>
        <w:pStyle w:val="ListParagraph"/>
        <w:numPr>
          <w:ilvl w:val="0"/>
          <w:numId w:val="1"/>
        </w:numPr>
        <w:ind w:left="426"/>
      </w:pPr>
      <w:r w:rsidRPr="0021037A">
        <w:t>Экспресс-тестирование на границе – уточнить стоимость и метод оплаты</w:t>
      </w:r>
    </w:p>
    <w:p w14:paraId="3E29861D" w14:textId="77777777" w:rsidR="0021037A" w:rsidRDefault="0021037A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21037A" w14:paraId="6B187988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5A0ACAF2" w14:textId="7A997F40" w:rsidR="0021037A" w:rsidRPr="0021037A" w:rsidRDefault="00582B69" w:rsidP="00582B69">
            <w:r>
              <w:rPr>
                <w:lang w:val="en-US"/>
              </w:rPr>
              <w:t>$30</w:t>
            </w:r>
            <w:r w:rsidR="0021037A" w:rsidRPr="00582B69">
              <w:rPr>
                <w:lang w:val="en-US"/>
              </w:rPr>
              <w:t xml:space="preserve">, </w:t>
            </w:r>
            <w:r w:rsidR="0021037A">
              <w:t xml:space="preserve">только наличным </w:t>
            </w:r>
            <w:r>
              <w:t>платежом</w:t>
            </w:r>
          </w:p>
        </w:tc>
      </w:tr>
    </w:tbl>
    <w:p w14:paraId="24FB4B85" w14:textId="77777777" w:rsidR="0021037A" w:rsidRDefault="0021037A" w:rsidP="00F120ED"/>
    <w:p w14:paraId="3621E368" w14:textId="58B2F3C1" w:rsidR="0021037A" w:rsidRDefault="0021037A" w:rsidP="009F3BAE">
      <w:pPr>
        <w:pStyle w:val="ListParagraph"/>
        <w:numPr>
          <w:ilvl w:val="0"/>
          <w:numId w:val="1"/>
        </w:numPr>
        <w:ind w:left="426"/>
      </w:pPr>
      <w:r w:rsidRPr="0021037A">
        <w:t>Санитарная обработка автотранспорта – стоимость и метод оплаты</w:t>
      </w:r>
    </w:p>
    <w:p w14:paraId="4D1DD4B6" w14:textId="77777777" w:rsidR="0021037A" w:rsidRDefault="0021037A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21037A" w14:paraId="2D7626D9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0C763259" w14:textId="387E7DE4" w:rsidR="0021037A" w:rsidRDefault="0021037A" w:rsidP="00F120ED">
            <w:r>
              <w:t xml:space="preserve">Будет либо бесплатно, либо </w:t>
            </w:r>
            <w:r w:rsidR="00582B69">
              <w:t>$</w:t>
            </w:r>
            <w:r>
              <w:t>2</w:t>
            </w:r>
            <w:r w:rsidRPr="0021037A">
              <w:t xml:space="preserve">, </w:t>
            </w:r>
            <w:r>
              <w:t xml:space="preserve">только наличным </w:t>
            </w:r>
            <w:r w:rsidR="00582B69">
              <w:t>платежом</w:t>
            </w:r>
          </w:p>
        </w:tc>
      </w:tr>
    </w:tbl>
    <w:p w14:paraId="28BD143F" w14:textId="77777777" w:rsidR="0021037A" w:rsidRDefault="0021037A" w:rsidP="00F120ED"/>
    <w:p w14:paraId="48718346" w14:textId="0E663E42" w:rsidR="0021037A" w:rsidRDefault="0021037A" w:rsidP="009F3BAE">
      <w:pPr>
        <w:pStyle w:val="ListParagraph"/>
        <w:numPr>
          <w:ilvl w:val="0"/>
          <w:numId w:val="1"/>
        </w:numPr>
        <w:ind w:left="426"/>
      </w:pPr>
      <w:r w:rsidRPr="0021037A">
        <w:t>Посольство Туркменистана в РФ ранее приостановило оформление виз. Когда Посольства Туркменистана за рубежом начнут принимать заявки на водительские визы?</w:t>
      </w:r>
    </w:p>
    <w:p w14:paraId="45C5FC21" w14:textId="77777777" w:rsidR="0021037A" w:rsidRDefault="0021037A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21037A" w14:paraId="0E8317D3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576666D0" w14:textId="3A4D1067" w:rsidR="0021037A" w:rsidRDefault="0021037A" w:rsidP="00F120ED">
            <w:r>
              <w:t>Всем посольствам Туркменистана в странах Миграционная Служба Туркменистана направила уведомление</w:t>
            </w:r>
            <w:r w:rsidR="00582B69" w:rsidRPr="00582B69">
              <w:t xml:space="preserve"> </w:t>
            </w:r>
            <w:r>
              <w:t>нача</w:t>
            </w:r>
            <w:r w:rsidR="00582B69">
              <w:t>ть</w:t>
            </w:r>
            <w:r>
              <w:t xml:space="preserve"> приём заявлений на оформление виз для водителей. В заявлении нужно указывать, что это именно транзитное следование по маршруту </w:t>
            </w:r>
            <w:proofErr w:type="spellStart"/>
            <w:r>
              <w:t>Фарап-Сарахс-Фа</w:t>
            </w:r>
            <w:r w:rsidR="00E27F7E">
              <w:t>рап</w:t>
            </w:r>
            <w:proofErr w:type="spellEnd"/>
            <w:r w:rsidR="00E27F7E">
              <w:t>. Так же необходимо приложить копию справки о вакцинации на каждого водителя.</w:t>
            </w:r>
          </w:p>
        </w:tc>
      </w:tr>
    </w:tbl>
    <w:p w14:paraId="5635C075" w14:textId="77777777" w:rsidR="0021037A" w:rsidRDefault="0021037A" w:rsidP="00F120ED"/>
    <w:p w14:paraId="7B56B59D" w14:textId="6304EDBE" w:rsidR="00E27F7E" w:rsidRDefault="00E27F7E" w:rsidP="009F3BAE">
      <w:pPr>
        <w:pStyle w:val="ListParagraph"/>
        <w:numPr>
          <w:ilvl w:val="0"/>
          <w:numId w:val="1"/>
        </w:numPr>
        <w:ind w:left="426"/>
      </w:pPr>
      <w:r w:rsidRPr="00E27F7E">
        <w:t>Где можно оформить и получить визу? Можно ли</w:t>
      </w:r>
      <w:r>
        <w:t>,</w:t>
      </w:r>
      <w:r w:rsidRPr="00E27F7E">
        <w:t xml:space="preserve"> например</w:t>
      </w:r>
      <w:r>
        <w:t>,</w:t>
      </w:r>
      <w:r w:rsidRPr="00E27F7E">
        <w:t xml:space="preserve"> на границе по прибытии получить транзитную водительскую визу? И сколько это будет стоить?</w:t>
      </w:r>
    </w:p>
    <w:p w14:paraId="48823222" w14:textId="77777777" w:rsidR="00E27F7E" w:rsidRDefault="00E27F7E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E27F7E" w14:paraId="76D34805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45CA23FC" w14:textId="32474B79" w:rsidR="00E27F7E" w:rsidRPr="001C2B89" w:rsidRDefault="00E27F7E" w:rsidP="00F120ED">
            <w:pPr>
              <w:rPr>
                <w:lang w:val="en-US"/>
              </w:rPr>
            </w:pPr>
            <w:r>
              <w:t>Визовое приглашение оформляется заранее в посольстве или консульстве Туркменистана в стране перевозчика</w:t>
            </w:r>
            <w:r w:rsidR="009F3BAE">
              <w:t>. В</w:t>
            </w:r>
            <w:r>
              <w:t>клейка визы в паспорт будет осуществляться</w:t>
            </w:r>
            <w:r w:rsidR="00582B69">
              <w:t xml:space="preserve"> либо</w:t>
            </w:r>
            <w:r w:rsidR="009F3BAE">
              <w:t xml:space="preserve"> </w:t>
            </w:r>
            <w:r w:rsidR="00582B69">
              <w:t>в посольстве/консульстве</w:t>
            </w:r>
            <w:r w:rsidR="009F3BAE">
              <w:t>, либо</w:t>
            </w:r>
            <w:r>
              <w:t xml:space="preserve"> на КПП при в</w:t>
            </w:r>
            <w:r w:rsidR="009F3BAE">
              <w:t>ъ</w:t>
            </w:r>
            <w:r>
              <w:t>езде</w:t>
            </w:r>
            <w:r w:rsidR="009F3BAE">
              <w:t xml:space="preserve">, однако только при условии, что ранее </w:t>
            </w:r>
            <w:r w:rsidR="009F3BAE">
              <w:lastRenderedPageBreak/>
              <w:t>было обращение в посольство/консульство.</w:t>
            </w:r>
            <w:r>
              <w:t xml:space="preserve"> Срок рассмотрения оформления визы – 10 рабочих дней для несрочной, 3 рабочих дня для срочной, однако её стоимость в два раза больше.</w:t>
            </w:r>
            <w:r w:rsidR="001C2B89" w:rsidRPr="001C2B89">
              <w:t xml:space="preserve"> </w:t>
            </w:r>
            <w:r w:rsidR="001C2B89">
              <w:t>Мы рекомендуем въезжать в страну с уже вклеенной визой.</w:t>
            </w:r>
          </w:p>
        </w:tc>
      </w:tr>
    </w:tbl>
    <w:p w14:paraId="227EE0FA" w14:textId="77777777" w:rsidR="00E27F7E" w:rsidRDefault="00E27F7E" w:rsidP="00F120ED"/>
    <w:p w14:paraId="347E6958" w14:textId="4E95AF89" w:rsidR="00E27F7E" w:rsidRDefault="00E27F7E" w:rsidP="009F3BAE">
      <w:pPr>
        <w:pStyle w:val="ListParagraph"/>
        <w:numPr>
          <w:ilvl w:val="0"/>
          <w:numId w:val="1"/>
        </w:numPr>
        <w:ind w:left="426"/>
      </w:pPr>
      <w:r w:rsidRPr="00E27F7E">
        <w:t>Будут ли пропускать водителей без виз?</w:t>
      </w:r>
    </w:p>
    <w:p w14:paraId="709C1D0C" w14:textId="77777777" w:rsidR="00E27F7E" w:rsidRDefault="00E27F7E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E27F7E" w14:paraId="6F451863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30134B86" w14:textId="1790317D" w:rsidR="00E27F7E" w:rsidRDefault="00E27F7E" w:rsidP="00F120ED">
            <w:r>
              <w:t>Нет.</w:t>
            </w:r>
            <w:r w:rsidR="009F3BAE">
              <w:t xml:space="preserve"> Виза обязательна.</w:t>
            </w:r>
          </w:p>
        </w:tc>
      </w:tr>
    </w:tbl>
    <w:p w14:paraId="48C57D75" w14:textId="77777777" w:rsidR="00E27F7E" w:rsidRDefault="00E27F7E" w:rsidP="00F120ED"/>
    <w:p w14:paraId="49C9912B" w14:textId="20F06F79" w:rsidR="00E27F7E" w:rsidRDefault="00E27F7E" w:rsidP="009F3BAE">
      <w:pPr>
        <w:pStyle w:val="ListParagraph"/>
        <w:numPr>
          <w:ilvl w:val="0"/>
          <w:numId w:val="1"/>
        </w:numPr>
        <w:ind w:left="426"/>
      </w:pPr>
      <w:r w:rsidRPr="00E27F7E">
        <w:t>Сколько конвоев будет в день?</w:t>
      </w:r>
      <w:r>
        <w:t xml:space="preserve"> Сколько машин в каждом</w:t>
      </w:r>
      <w:r w:rsidR="00F120ED">
        <w:t xml:space="preserve"> конвое?</w:t>
      </w:r>
    </w:p>
    <w:p w14:paraId="54D30A24" w14:textId="77777777" w:rsidR="00E27F7E" w:rsidRDefault="00E27F7E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E27F7E" w14:paraId="229A824E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6E1E7C7C" w14:textId="5FAB9FF1" w:rsidR="00E27F7E" w:rsidRDefault="00E27F7E" w:rsidP="00F120ED">
            <w:r w:rsidRPr="00E27F7E">
              <w:t>Будет зависеть от кол</w:t>
            </w:r>
            <w:r>
              <w:t>ичества</w:t>
            </w:r>
            <w:r w:rsidRPr="00E27F7E">
              <w:t xml:space="preserve"> прибывающих машин</w:t>
            </w:r>
            <w:r>
              <w:t>, но максимально</w:t>
            </w:r>
            <w:r w:rsidRPr="00E27F7E">
              <w:t xml:space="preserve"> до 10</w:t>
            </w:r>
            <w:r>
              <w:t xml:space="preserve"> конвоев</w:t>
            </w:r>
            <w:r w:rsidRPr="00E27F7E">
              <w:t xml:space="preserve"> в день</w:t>
            </w:r>
            <w:r>
              <w:t>.</w:t>
            </w:r>
            <w:r w:rsidR="00F120ED">
              <w:t xml:space="preserve"> Максимально 20 машин в каждом конвое.</w:t>
            </w:r>
          </w:p>
        </w:tc>
      </w:tr>
    </w:tbl>
    <w:p w14:paraId="7B72B25F" w14:textId="77777777" w:rsidR="00F120ED" w:rsidRDefault="00F120ED" w:rsidP="00F120ED"/>
    <w:p w14:paraId="4F6E8A6D" w14:textId="6F89A8D6" w:rsidR="00F120ED" w:rsidRDefault="00F120ED" w:rsidP="009F3BAE">
      <w:pPr>
        <w:pStyle w:val="ListParagraph"/>
        <w:numPr>
          <w:ilvl w:val="0"/>
          <w:numId w:val="1"/>
        </w:numPr>
        <w:ind w:left="426"/>
      </w:pPr>
      <w:r w:rsidRPr="00F120ED">
        <w:t xml:space="preserve">Сколько займет время в пути от </w:t>
      </w:r>
      <w:proofErr w:type="spellStart"/>
      <w:r w:rsidRPr="00F120ED">
        <w:t>Фарап</w:t>
      </w:r>
      <w:proofErr w:type="spellEnd"/>
      <w:r w:rsidRPr="00F120ED">
        <w:t xml:space="preserve"> до </w:t>
      </w:r>
      <w:proofErr w:type="spellStart"/>
      <w:r w:rsidRPr="00F120ED">
        <w:t>Сарахс</w:t>
      </w:r>
      <w:proofErr w:type="spellEnd"/>
      <w:r w:rsidRPr="00F120ED">
        <w:t>?</w:t>
      </w:r>
    </w:p>
    <w:p w14:paraId="5EC15315" w14:textId="77777777" w:rsidR="00F120ED" w:rsidRDefault="00F120ED" w:rsidP="00F120E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F120ED" w14:paraId="615A4767" w14:textId="77777777" w:rsidTr="001C2B89">
        <w:trPr>
          <w:jc w:val="center"/>
        </w:trPr>
        <w:tc>
          <w:tcPr>
            <w:tcW w:w="9071" w:type="dxa"/>
            <w:shd w:val="clear" w:color="auto" w:fill="auto"/>
          </w:tcPr>
          <w:p w14:paraId="399D4484" w14:textId="75B1B2FA" w:rsidR="00F120ED" w:rsidRDefault="00F120ED" w:rsidP="00F120ED">
            <w:r>
              <w:t>В среднем с учётом остановок на отдых – 9-10 часов.</w:t>
            </w:r>
          </w:p>
        </w:tc>
      </w:tr>
    </w:tbl>
    <w:p w14:paraId="5F72373F" w14:textId="77777777" w:rsidR="00F120ED" w:rsidRDefault="00F120ED" w:rsidP="00F120ED"/>
    <w:p w14:paraId="69F6C9F0" w14:textId="77777777" w:rsidR="0021037A" w:rsidRDefault="0021037A" w:rsidP="00F120ED"/>
    <w:sectPr w:rsidR="0021037A" w:rsidSect="00676190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CC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50A"/>
    <w:multiLevelType w:val="hybridMultilevel"/>
    <w:tmpl w:val="A9C68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55"/>
    <w:multiLevelType w:val="hybridMultilevel"/>
    <w:tmpl w:val="A9C68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1B60"/>
    <w:multiLevelType w:val="hybridMultilevel"/>
    <w:tmpl w:val="A9C68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777"/>
    <w:multiLevelType w:val="hybridMultilevel"/>
    <w:tmpl w:val="A9C68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7401"/>
    <w:multiLevelType w:val="hybridMultilevel"/>
    <w:tmpl w:val="A9C68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54BE1"/>
    <w:multiLevelType w:val="hybridMultilevel"/>
    <w:tmpl w:val="FC002AB0"/>
    <w:lvl w:ilvl="0" w:tplc="57C48A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74250"/>
    <w:multiLevelType w:val="hybridMultilevel"/>
    <w:tmpl w:val="A9C681CA"/>
    <w:lvl w:ilvl="0" w:tplc="2A068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B0F2E"/>
    <w:multiLevelType w:val="hybridMultilevel"/>
    <w:tmpl w:val="A9C68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10CAF"/>
    <w:multiLevelType w:val="hybridMultilevel"/>
    <w:tmpl w:val="A9C68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21B99"/>
    <w:multiLevelType w:val="hybridMultilevel"/>
    <w:tmpl w:val="A9C68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89789">
    <w:abstractNumId w:val="6"/>
  </w:num>
  <w:num w:numId="2" w16cid:durableId="324357196">
    <w:abstractNumId w:val="7"/>
  </w:num>
  <w:num w:numId="3" w16cid:durableId="1808669410">
    <w:abstractNumId w:val="2"/>
  </w:num>
  <w:num w:numId="4" w16cid:durableId="615601367">
    <w:abstractNumId w:val="4"/>
  </w:num>
  <w:num w:numId="5" w16cid:durableId="349525852">
    <w:abstractNumId w:val="1"/>
  </w:num>
  <w:num w:numId="6" w16cid:durableId="2103796319">
    <w:abstractNumId w:val="5"/>
  </w:num>
  <w:num w:numId="7" w16cid:durableId="1213152621">
    <w:abstractNumId w:val="3"/>
  </w:num>
  <w:num w:numId="8" w16cid:durableId="1107047623">
    <w:abstractNumId w:val="8"/>
  </w:num>
  <w:num w:numId="9" w16cid:durableId="1757942403">
    <w:abstractNumId w:val="9"/>
  </w:num>
  <w:num w:numId="10" w16cid:durableId="189781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7A"/>
    <w:rsid w:val="001C2B89"/>
    <w:rsid w:val="0021037A"/>
    <w:rsid w:val="0028105F"/>
    <w:rsid w:val="00582B69"/>
    <w:rsid w:val="00676190"/>
    <w:rsid w:val="009F3BAE"/>
    <w:rsid w:val="00E27F7E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9CE5"/>
  <w15:chartTrackingRefBased/>
  <w15:docId w15:val="{61DAB88E-E525-431E-B606-3ECCF46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Theme="minorHAnsi" w:hAnsi="Ubuntu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7A"/>
    <w:pPr>
      <w:ind w:left="720"/>
      <w:contextualSpacing/>
    </w:pPr>
  </w:style>
  <w:style w:type="table" w:styleId="TableGrid">
    <w:name w:val="Table Grid"/>
    <w:basedOn w:val="TableNormal"/>
    <w:uiPriority w:val="39"/>
    <w:rsid w:val="0021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Sanjiev</dc:creator>
  <cp:keywords/>
  <dc:description/>
  <cp:lastModifiedBy>Oleg Sanjiev</cp:lastModifiedBy>
  <cp:revision>2</cp:revision>
  <cp:lastPrinted>2022-05-26T12:21:00Z</cp:lastPrinted>
  <dcterms:created xsi:type="dcterms:W3CDTF">2022-05-26T12:06:00Z</dcterms:created>
  <dcterms:modified xsi:type="dcterms:W3CDTF">2022-05-26T12:41:00Z</dcterms:modified>
</cp:coreProperties>
</file>