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89"/>
        <w:ind w:left="131" w:right="333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Республики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Башкортостан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22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декабря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2020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778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определении размера вреда, причиняемого тяжеловесными транспортными средствами</w:t>
        </w:r>
      </w:hyperlink>
      <w:r>
        <w:rPr>
          <w:rFonts w:ascii="Arial" w:hAnsi="Arial"/>
          <w:b/>
          <w:color w:val="0F6BBF"/>
          <w:spacing w:val="-59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при</w:t>
        </w:r>
        <w:r>
          <w:rPr>
            <w:rFonts w:ascii="Arial" w:hAnsi="Arial"/>
            <w:b/>
            <w:color w:val="0F6BBF"/>
            <w:spacing w:val="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движении</w:t>
        </w:r>
        <w:r>
          <w:rPr>
            <w:rFonts w:ascii="Arial" w:hAnsi="Arial"/>
            <w:b/>
            <w:color w:val="0F6BBF"/>
            <w:spacing w:val="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  <w:r>
          <w:rPr>
            <w:rFonts w:ascii="Arial" w:hAnsi="Arial"/>
            <w:b/>
            <w:color w:val="0F6BBF"/>
            <w:spacing w:val="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Республики</w:t>
        </w:r>
        <w:r>
          <w:rPr>
            <w:rFonts w:ascii="Arial" w:hAnsi="Arial"/>
            <w:b/>
            <w:color w:val="0F6BBF"/>
            <w:spacing w:val="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Башкортостан</w:t>
        </w:r>
        <w:r>
          <w:rPr>
            <w:rFonts w:ascii="Arial" w:hAnsi="Arial"/>
            <w:b/>
            <w:color w:val="0F6BBF"/>
            <w:spacing w:val="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регионального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или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межмуниципального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значения"</w:t>
        </w:r>
      </w:hyperlink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BodyText"/>
        <w:spacing w:line="237" w:lineRule="auto"/>
        <w:ind w:left="120" w:right="315" w:firstLine="720"/>
        <w:jc w:val="both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7 статьи 12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"Об автомобильных дорогах и о</w:t>
      </w:r>
      <w:r>
        <w:rPr>
          <w:spacing w:val="1"/>
        </w:rPr>
        <w:t> </w:t>
      </w:r>
      <w:r>
        <w:rPr/>
        <w:t>дорожной деятельности в Российской Федерации и о внесении изменений в отдельные законодательные</w:t>
      </w:r>
      <w:r>
        <w:rPr>
          <w:spacing w:val="1"/>
        </w:rPr>
        <w:t> </w:t>
      </w:r>
      <w:r>
        <w:rPr/>
        <w:t>акты Российской Федерации" и </w:t>
      </w:r>
      <w:hyperlink r:id="rId9">
        <w:r>
          <w:rPr>
            <w:rFonts w:ascii="Microsoft Sans Serif" w:hAnsi="Microsoft Sans Serif"/>
            <w:color w:val="0F6BBF"/>
          </w:rPr>
          <w:t>пунктом 10 части 3 статьи 6 </w:t>
        </w:r>
      </w:hyperlink>
      <w:r>
        <w:rPr/>
        <w:t>Закона Республики Башкортостан "Об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Башкортостан"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Башкортостан</w:t>
      </w:r>
      <w:r>
        <w:rPr>
          <w:spacing w:val="-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7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-5"/>
          <w:sz w:val="22"/>
        </w:rPr>
        <w:t> </w:t>
      </w:r>
      <w:r>
        <w:rPr>
          <w:sz w:val="22"/>
        </w:rPr>
        <w:t>прилагаемые:</w:t>
      </w:r>
    </w:p>
    <w:p>
      <w:pPr>
        <w:pStyle w:val="BodyText"/>
        <w:spacing w:line="237" w:lineRule="auto" w:before="1"/>
        <w:ind w:left="120" w:right="314" w:firstLine="720"/>
        <w:jc w:val="both"/>
      </w:pPr>
      <w:hyperlink w:history="true" w:anchor="_bookmark0">
        <w:r>
          <w:rPr>
            <w:rFonts w:ascii="Microsoft Sans Serif" w:hAnsi="Microsoft Sans Serif"/>
            <w:color w:val="0F6BBF"/>
          </w:rPr>
          <w:t>показатели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тяжеловесными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Башкортостан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-2"/>
        </w:rPr>
        <w:t> </w:t>
      </w:r>
      <w:r>
        <w:rPr/>
        <w:t>значения;</w:t>
      </w:r>
    </w:p>
    <w:p>
      <w:pPr>
        <w:pStyle w:val="BodyText"/>
        <w:spacing w:line="237" w:lineRule="auto"/>
        <w:ind w:left="120" w:right="315" w:firstLine="720"/>
        <w:jc w:val="both"/>
      </w:pPr>
      <w:hyperlink w:history="true" w:anchor="_bookmark1">
        <w:r>
          <w:rPr>
            <w:rFonts w:ascii="Microsoft Sans Serif" w:hAnsi="Microsoft Sans Serif"/>
            <w:color w:val="0F6BBF"/>
          </w:rPr>
          <w:t>величины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Башкортостан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применяемые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формулах,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тяжеловесными транспортными средствами, предусмотренной в приложении к </w:t>
      </w:r>
      <w:hyperlink r:id="rId10">
        <w:r>
          <w:rPr>
            <w:rFonts w:ascii="Microsoft Sans Serif" w:hAnsi="Microsoft Sans Serif"/>
            <w:color w:val="0F6BBF"/>
          </w:rPr>
          <w:t>Правилам </w:t>
        </w:r>
      </w:hyperlink>
      <w:r>
        <w:rPr/>
        <w:t>возмещения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тяжеловесными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hyperlink r:id="rId11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 31 января</w:t>
      </w:r>
      <w:r>
        <w:rPr>
          <w:spacing w:val="-2"/>
        </w:rPr>
        <w:t> </w:t>
      </w:r>
      <w:r>
        <w:rPr/>
        <w:t>2020 года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67.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Министерству транспорта и дорожного хозяйства Республики Башкортостан организовать</w:t>
      </w:r>
      <w:r>
        <w:rPr>
          <w:spacing w:val="1"/>
          <w:sz w:val="22"/>
        </w:rPr>
        <w:t> </w:t>
      </w:r>
      <w:r>
        <w:rPr>
          <w:sz w:val="22"/>
        </w:rPr>
        <w:t>расчет,</w:t>
      </w:r>
      <w:r>
        <w:rPr>
          <w:spacing w:val="1"/>
          <w:sz w:val="22"/>
        </w:rPr>
        <w:t> </w:t>
      </w:r>
      <w:r>
        <w:rPr>
          <w:sz w:val="22"/>
        </w:rPr>
        <w:t>начисление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взимание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владельцев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возмещения вреда, причиняемого автомобильным дорогам Республики Башкортостан регионального 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2"/>
          <w:sz w:val="22"/>
        </w:rPr>
        <w:t> </w:t>
      </w:r>
      <w:r>
        <w:rPr>
          <w:sz w:val="22"/>
        </w:rPr>
        <w:t>значения.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8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Признать</w:t>
      </w:r>
      <w:r>
        <w:rPr>
          <w:spacing w:val="-5"/>
          <w:sz w:val="22"/>
        </w:rPr>
        <w:t> </w:t>
      </w:r>
      <w:r>
        <w:rPr>
          <w:sz w:val="22"/>
        </w:rPr>
        <w:t>утратившими</w:t>
      </w:r>
      <w:r>
        <w:rPr>
          <w:spacing w:val="-3"/>
          <w:sz w:val="22"/>
        </w:rPr>
        <w:t> </w:t>
      </w:r>
      <w:r>
        <w:rPr>
          <w:sz w:val="22"/>
        </w:rPr>
        <w:t>силу:</w:t>
      </w:r>
    </w:p>
    <w:p>
      <w:pPr>
        <w:pStyle w:val="BodyText"/>
        <w:spacing w:line="237" w:lineRule="auto"/>
        <w:ind w:left="120" w:right="314" w:firstLine="720"/>
        <w:jc w:val="both"/>
      </w:pPr>
      <w:hyperlink r:id="rId12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Башкортостан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определении размера вреда, причиняемого транспортными средствами, осуществляющими перевозки</w:t>
      </w:r>
      <w:r>
        <w:rPr>
          <w:spacing w:val="1"/>
        </w:rPr>
        <w:t> </w:t>
      </w:r>
      <w:r>
        <w:rPr/>
        <w:t>тяжеловесных грузов, при движении транспортных средств по автомобильным дорогам Республики</w:t>
      </w:r>
      <w:r>
        <w:rPr>
          <w:spacing w:val="1"/>
        </w:rPr>
        <w:t> </w:t>
      </w:r>
      <w:r>
        <w:rPr/>
        <w:t>Башкортостан</w:t>
      </w:r>
      <w:r>
        <w:rPr>
          <w:spacing w:val="-2"/>
        </w:rPr>
        <w:t> </w:t>
      </w:r>
      <w:r>
        <w:rPr/>
        <w:t>регионального 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значения";</w:t>
      </w:r>
    </w:p>
    <w:p>
      <w:pPr>
        <w:pStyle w:val="BodyText"/>
        <w:spacing w:line="237" w:lineRule="auto"/>
        <w:ind w:left="120" w:right="315" w:firstLine="720"/>
        <w:jc w:val="both"/>
      </w:pPr>
      <w:hyperlink r:id="rId13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Башкортостан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внесении</w:t>
      </w:r>
      <w:r>
        <w:rPr>
          <w:spacing w:val="8"/>
        </w:rPr>
        <w:t> </w:t>
      </w:r>
      <w:r>
        <w:rPr/>
        <w:t>изменений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постановление</w:t>
      </w:r>
      <w:r>
        <w:rPr>
          <w:spacing w:val="9"/>
        </w:rPr>
        <w:t> </w:t>
      </w:r>
      <w:r>
        <w:rPr/>
        <w:t>Правительства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Башкортостан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марта</w:t>
      </w:r>
      <w:r>
        <w:rPr>
          <w:spacing w:val="9"/>
        </w:rPr>
        <w:t> </w:t>
      </w:r>
      <w:r>
        <w:rPr/>
        <w:t>2010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line="237" w:lineRule="auto"/>
        <w:ind w:left="120" w:right="313"/>
        <w:jc w:val="both"/>
      </w:pPr>
      <w:r>
        <w:rPr/>
        <w:t>59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Башкортостан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значения";</w:t>
      </w:r>
    </w:p>
    <w:p>
      <w:pPr>
        <w:pStyle w:val="BodyText"/>
        <w:spacing w:line="237" w:lineRule="auto"/>
        <w:ind w:left="120" w:right="315" w:firstLine="720"/>
        <w:jc w:val="both"/>
      </w:pPr>
      <w:hyperlink r:id="rId14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Башкортостан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145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внесении</w:t>
      </w:r>
      <w:r>
        <w:rPr>
          <w:spacing w:val="8"/>
        </w:rPr>
        <w:t> </w:t>
      </w:r>
      <w:r>
        <w:rPr/>
        <w:t>изменений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постановление</w:t>
      </w:r>
      <w:r>
        <w:rPr>
          <w:spacing w:val="9"/>
        </w:rPr>
        <w:t> </w:t>
      </w:r>
      <w:r>
        <w:rPr/>
        <w:t>Правительства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Башкортостан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марта</w:t>
      </w:r>
      <w:r>
        <w:rPr>
          <w:spacing w:val="9"/>
        </w:rPr>
        <w:t> </w:t>
      </w:r>
      <w:r>
        <w:rPr/>
        <w:t>2010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line="237" w:lineRule="auto"/>
        <w:ind w:left="120" w:right="313"/>
        <w:jc w:val="both"/>
      </w:pPr>
      <w:r>
        <w:rPr/>
        <w:t>59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Башкортостан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значения";</w:t>
      </w:r>
    </w:p>
    <w:p>
      <w:pPr>
        <w:pStyle w:val="BodyText"/>
        <w:spacing w:line="237" w:lineRule="auto"/>
        <w:ind w:left="120" w:right="315" w:firstLine="720"/>
        <w:jc w:val="both"/>
      </w:pPr>
      <w:hyperlink r:id="rId15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 Республики Башкортостан от 10 ноября 2015 года N 471 "О</w:t>
      </w:r>
      <w:r>
        <w:rPr>
          <w:spacing w:val="1"/>
        </w:rPr>
        <w:t> </w:t>
      </w:r>
      <w:r>
        <w:rPr/>
        <w:t>внесении</w:t>
      </w:r>
      <w:r>
        <w:rPr>
          <w:spacing w:val="8"/>
        </w:rPr>
        <w:t> </w:t>
      </w:r>
      <w:r>
        <w:rPr/>
        <w:t>изменений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постановление</w:t>
      </w:r>
      <w:r>
        <w:rPr>
          <w:spacing w:val="9"/>
        </w:rPr>
        <w:t> </w:t>
      </w:r>
      <w:r>
        <w:rPr/>
        <w:t>Правительства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Башкортостан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марта</w:t>
      </w:r>
      <w:r>
        <w:rPr>
          <w:spacing w:val="9"/>
        </w:rPr>
        <w:t> </w:t>
      </w:r>
      <w:r>
        <w:rPr/>
        <w:t>2010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line="237" w:lineRule="auto"/>
        <w:ind w:left="120" w:right="313"/>
        <w:jc w:val="both"/>
      </w:pPr>
      <w:r>
        <w:rPr/>
        <w:t>59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Башкортостан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значения";</w:t>
      </w:r>
    </w:p>
    <w:p>
      <w:pPr>
        <w:pStyle w:val="BodyText"/>
        <w:spacing w:line="237" w:lineRule="auto"/>
        <w:ind w:left="120" w:right="315" w:firstLine="720"/>
        <w:jc w:val="both"/>
      </w:pPr>
      <w:hyperlink r:id="rId16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 Республики Башкортостан от 2 декабря 2016 года N 506 "О</w:t>
      </w:r>
      <w:r>
        <w:rPr>
          <w:spacing w:val="1"/>
        </w:rPr>
        <w:t> </w:t>
      </w:r>
      <w:r>
        <w:rPr/>
        <w:t>внесении</w:t>
      </w:r>
      <w:r>
        <w:rPr>
          <w:spacing w:val="8"/>
        </w:rPr>
        <w:t> </w:t>
      </w:r>
      <w:r>
        <w:rPr/>
        <w:t>изменений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постановление</w:t>
      </w:r>
      <w:r>
        <w:rPr>
          <w:spacing w:val="9"/>
        </w:rPr>
        <w:t> </w:t>
      </w:r>
      <w:r>
        <w:rPr/>
        <w:t>Правительства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Башкортостан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марта</w:t>
      </w:r>
      <w:r>
        <w:rPr>
          <w:spacing w:val="9"/>
        </w:rPr>
        <w:t> </w:t>
      </w:r>
      <w:r>
        <w:rPr/>
        <w:t>2010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line="237" w:lineRule="auto"/>
        <w:ind w:left="120" w:right="313"/>
        <w:jc w:val="both"/>
      </w:pPr>
      <w:r>
        <w:rPr/>
        <w:t>59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Башкортостан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значения".</w:t>
      </w:r>
    </w:p>
    <w:p>
      <w:pPr>
        <w:pStyle w:val="BodyText"/>
        <w:rPr>
          <w:sz w:val="30"/>
        </w:rPr>
      </w:pPr>
    </w:p>
    <w:p>
      <w:pPr>
        <w:pStyle w:val="BodyText"/>
        <w:spacing w:line="221" w:lineRule="exact"/>
        <w:ind w:left="205"/>
      </w:pPr>
      <w:r>
        <w:rPr/>
        <w:t>Премьер-министр</w:t>
      </w:r>
      <w:r>
        <w:rPr>
          <w:spacing w:val="-13"/>
        </w:rPr>
        <w:t> </w:t>
      </w:r>
      <w:r>
        <w:rPr/>
        <w:t>Правительства</w:t>
      </w:r>
    </w:p>
    <w:p>
      <w:pPr>
        <w:pStyle w:val="BodyText"/>
        <w:tabs>
          <w:tab w:pos="9023" w:val="left" w:leader="none"/>
        </w:tabs>
        <w:spacing w:line="281" w:lineRule="exact"/>
        <w:ind w:left="205"/>
      </w:pPr>
      <w:r>
        <w:rPr/>
        <w:t>Республики</w:t>
      </w:r>
      <w:r>
        <w:rPr>
          <w:spacing w:val="-7"/>
        </w:rPr>
        <w:t> </w:t>
      </w:r>
      <w:r>
        <w:rPr/>
        <w:t>Башкортостан</w:t>
        <w:tab/>
      </w:r>
      <w:r>
        <w:rPr>
          <w:position w:val="6"/>
        </w:rPr>
        <w:t>А.Г.</w:t>
      </w:r>
      <w:r>
        <w:rPr>
          <w:spacing w:val="-3"/>
          <w:position w:val="6"/>
        </w:rPr>
        <w:t> </w:t>
      </w:r>
      <w:r>
        <w:rPr>
          <w:position w:val="6"/>
        </w:rPr>
        <w:t>Назаров</w:t>
      </w:r>
    </w:p>
    <w:p>
      <w:pPr>
        <w:pStyle w:val="BodyText"/>
        <w:spacing w:before="4"/>
        <w:rPr>
          <w:sz w:val="31"/>
        </w:rPr>
      </w:pPr>
    </w:p>
    <w:p>
      <w:pPr>
        <w:spacing w:line="237" w:lineRule="auto" w:before="0"/>
        <w:ind w:left="6445" w:right="317" w:firstLine="2199"/>
        <w:jc w:val="right"/>
        <w:rPr>
          <w:rFonts w:ascii="Arial" w:hAnsi="Arial"/>
          <w:b/>
          <w:sz w:val="22"/>
        </w:rPr>
      </w:pPr>
      <w:bookmarkStart w:name="_bookmark0" w:id="1"/>
      <w:bookmarkEnd w:id="1"/>
      <w:r>
        <w:rPr/>
      </w:r>
      <w:r>
        <w:rPr>
          <w:rFonts w:ascii="Arial" w:hAnsi="Arial"/>
          <w:b/>
          <w:color w:val="26282D"/>
          <w:spacing w:val="-1"/>
          <w:sz w:val="22"/>
        </w:rPr>
        <w:t>Утверждены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Республики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Башкортостан</w:t>
      </w:r>
    </w:p>
    <w:p>
      <w:pPr>
        <w:spacing w:line="250" w:lineRule="exact" w:before="0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22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декабря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2020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778</w:t>
      </w:r>
    </w:p>
    <w:p>
      <w:pPr>
        <w:spacing w:after="0" w:line="250" w:lineRule="exact"/>
        <w:jc w:val="right"/>
        <w:rPr>
          <w:rFonts w:ascii="Arial" w:hAnsi="Arial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880" w:right="68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1" w:lineRule="exact" w:before="208"/>
        <w:ind w:left="451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Показатели</w:t>
      </w:r>
    </w:p>
    <w:p>
      <w:pPr>
        <w:spacing w:line="237" w:lineRule="auto" w:before="1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размера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вреда,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причиняемого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тяжеловесными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транспортными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средствами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 дорогам Республики Башкортостан регионального и межмуниципального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значения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1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1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1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</w:t>
      </w:r>
    </w:p>
    <w:p>
      <w:pPr>
        <w:spacing w:line="237" w:lineRule="auto" w:before="0"/>
        <w:ind w:left="149" w:right="348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вреда, причиняемого тяжеловесными транспортными средствами при движении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 межмуниципального значения, рассчитанным под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осевую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нагрузку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6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превышения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допустимых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нагрузок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каждую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ось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транспортного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средства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(для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дорожной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одеждой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капитального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облегченного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типа)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5740"/>
      </w:tblGrid>
      <w:tr>
        <w:trPr>
          <w:trHeight w:val="856" w:hRule="atLeast"/>
        </w:trPr>
        <w:tc>
          <w:tcPr>
            <w:tcW w:w="4340" w:type="dxa"/>
          </w:tcPr>
          <w:p>
            <w:pPr>
              <w:pStyle w:val="TableParagraph"/>
              <w:spacing w:line="237" w:lineRule="auto" w:before="44"/>
              <w:ind w:left="174" w:right="168"/>
              <w:rPr>
                <w:sz w:val="22"/>
              </w:rPr>
            </w:pPr>
            <w:r>
              <w:rPr>
                <w:sz w:val="22"/>
              </w:rPr>
              <w:t>Превышение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нагрузок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допустимыми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(проценты)</w:t>
            </w:r>
          </w:p>
        </w:tc>
        <w:tc>
          <w:tcPr>
            <w:tcW w:w="5740" w:type="dxa"/>
          </w:tcPr>
          <w:p>
            <w:pPr>
              <w:pStyle w:val="TableParagraph"/>
              <w:ind w:left="1382" w:right="1377"/>
              <w:rPr>
                <w:sz w:val="22"/>
              </w:rPr>
            </w:pPr>
            <w:r>
              <w:rPr>
                <w:sz w:val="22"/>
              </w:rPr>
              <w:t>Размер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км)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74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4685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99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4703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99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4727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99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4757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99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4794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99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4837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99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4886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935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4941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5001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5068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5140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5218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5302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5392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5487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5588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5695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5807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5925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6048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6177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6311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6451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6596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6746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88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5740" w:type="dxa"/>
          </w:tcPr>
          <w:p>
            <w:pPr>
              <w:pStyle w:val="TableParagraph"/>
              <w:ind w:left="1381" w:right="1377"/>
              <w:rPr>
                <w:sz w:val="22"/>
              </w:rPr>
            </w:pPr>
            <w:r>
              <w:rPr>
                <w:sz w:val="22"/>
              </w:rPr>
              <w:t>6902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5740"/>
      </w:tblGrid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7064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7231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7403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7581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7764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7952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8145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8344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8549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8758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8973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9193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9418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9649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5740" w:type="dxa"/>
          </w:tcPr>
          <w:p>
            <w:pPr>
              <w:pStyle w:val="TableParagraph"/>
              <w:ind w:left="2649"/>
              <w:jc w:val="left"/>
              <w:rPr>
                <w:sz w:val="22"/>
              </w:rPr>
            </w:pPr>
            <w:r>
              <w:rPr>
                <w:sz w:val="22"/>
              </w:rPr>
              <w:t>9885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10126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10372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10623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10880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11142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11409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11681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11958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12241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12528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12821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13119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13422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13730</w:t>
            </w:r>
          </w:p>
        </w:tc>
      </w:tr>
      <w:tr>
        <w:trPr>
          <w:trHeight w:val="357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14043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14361</w:t>
            </w:r>
          </w:p>
        </w:tc>
      </w:tr>
      <w:tr>
        <w:trPr>
          <w:trHeight w:val="356" w:hRule="atLeast"/>
        </w:trPr>
        <w:tc>
          <w:tcPr>
            <w:tcW w:w="4340" w:type="dxa"/>
          </w:tcPr>
          <w:p>
            <w:pPr>
              <w:pStyle w:val="TableParagraph"/>
              <w:ind w:left="171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</w:p>
        </w:tc>
        <w:tc>
          <w:tcPr>
            <w:tcW w:w="5740" w:type="dxa"/>
          </w:tcPr>
          <w:p>
            <w:pPr>
              <w:pStyle w:val="TableParagraph"/>
              <w:ind w:left="2594"/>
              <w:jc w:val="left"/>
              <w:rPr>
                <w:sz w:val="22"/>
              </w:rPr>
            </w:pPr>
            <w:r>
              <w:rPr>
                <w:sz w:val="22"/>
              </w:rPr>
              <w:t>14685</w:t>
            </w:r>
          </w:p>
        </w:tc>
      </w:tr>
      <w:tr>
        <w:trPr>
          <w:trHeight w:val="2107" w:hRule="atLeast"/>
        </w:trPr>
        <w:tc>
          <w:tcPr>
            <w:tcW w:w="4340" w:type="dxa"/>
          </w:tcPr>
          <w:p>
            <w:pPr>
              <w:pStyle w:val="TableParagraph"/>
              <w:ind w:left="172" w:right="16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5740" w:type="dxa"/>
          </w:tcPr>
          <w:p>
            <w:pPr>
              <w:pStyle w:val="TableParagraph"/>
              <w:tabs>
                <w:tab w:pos="1878" w:val="left" w:leader="none"/>
                <w:tab w:pos="2058" w:val="left" w:leader="none"/>
                <w:tab w:pos="3951" w:val="left" w:leader="none"/>
                <w:tab w:pos="4181" w:val="left" w:leader="none"/>
              </w:tabs>
              <w:spacing w:line="237" w:lineRule="auto" w:before="44"/>
              <w:ind w:left="84" w:right="74"/>
              <w:jc w:val="both"/>
              <w:rPr>
                <w:sz w:val="22"/>
              </w:rPr>
            </w:pPr>
            <w:r>
              <w:rPr>
                <w:sz w:val="22"/>
              </w:rPr>
              <w:t>рассчитывается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формулам,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приведенным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rFonts w:ascii="Microsoft Sans Serif" w:hAnsi="Microsoft Sans Serif"/>
                  <w:color w:val="0F6BBF"/>
                  <w:sz w:val="22"/>
                </w:rPr>
                <w:t>Правилам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r>
              <w:rPr>
                <w:sz w:val="22"/>
              </w:rPr>
              <w:t>возмещения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  <w:tab/>
              <w:tab/>
              <w:t>тяжеловесными</w:t>
              <w:tab/>
              <w:tab/>
            </w:r>
            <w:r>
              <w:rPr>
                <w:spacing w:val="-1"/>
                <w:sz w:val="22"/>
              </w:rPr>
              <w:t>транспортными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средствами,</w:t>
              <w:tab/>
              <w:t>утвержденным</w:t>
              <w:tab/>
            </w:r>
            <w:hyperlink r:id="rId11"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постановлением</w:t>
              </w:r>
            </w:hyperlink>
            <w:r>
              <w:rPr>
                <w:rFonts w:ascii="Microsoft Sans Serif" w:hAnsi="Microsoft Sans Serif"/>
                <w:color w:val="0F6BBF"/>
                <w:spacing w:val="-57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 от 31 января 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2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91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</w:t>
      </w:r>
    </w:p>
    <w:p>
      <w:pPr>
        <w:spacing w:after="0"/>
        <w:jc w:val="center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spacing w:line="237" w:lineRule="auto" w:before="82"/>
        <w:ind w:left="149" w:right="348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вреда, причиняемого тяжеловесными транспортными средствами при движении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 межмуниципального значения, рассчитанным под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осевую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нагрузку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6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превышения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допустимых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нагрузок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каждую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ось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транспортного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средства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(для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дорожной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одеждой переходного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типа)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857" w:hRule="atLeast"/>
        </w:trPr>
        <w:tc>
          <w:tcPr>
            <w:tcW w:w="4480" w:type="dxa"/>
          </w:tcPr>
          <w:p>
            <w:pPr>
              <w:pStyle w:val="TableParagraph"/>
              <w:spacing w:line="237" w:lineRule="auto" w:before="44"/>
              <w:ind w:left="244" w:right="238"/>
              <w:rPr>
                <w:sz w:val="22"/>
              </w:rPr>
            </w:pPr>
            <w:r>
              <w:rPr>
                <w:sz w:val="22"/>
              </w:rPr>
              <w:t>Превышение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нагрузок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допустимыми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(проценты)</w:t>
            </w:r>
          </w:p>
        </w:tc>
        <w:tc>
          <w:tcPr>
            <w:tcW w:w="5600" w:type="dxa"/>
          </w:tcPr>
          <w:p>
            <w:pPr>
              <w:pStyle w:val="TableParagraph"/>
              <w:ind w:left="1312" w:right="1307"/>
              <w:rPr>
                <w:sz w:val="22"/>
              </w:rPr>
            </w:pPr>
            <w:r>
              <w:rPr>
                <w:sz w:val="22"/>
              </w:rPr>
              <w:t>Размер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км)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2823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2840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2859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2879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2900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2922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2945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2969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2993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3017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3043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3068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3095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3121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3148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3176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3204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3232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3261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3290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3319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3349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3379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3409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3439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3470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3501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3533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3564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3596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3628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3661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3693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9" w:hRule="atLeast"/>
        </w:trPr>
        <w:tc>
          <w:tcPr>
            <w:tcW w:w="4480" w:type="dxa"/>
            <w:tcBorders>
              <w:top w:val="nil"/>
            </w:tcBorders>
          </w:tcPr>
          <w:p>
            <w:pPr>
              <w:pStyle w:val="TableParagraph"/>
              <w:spacing w:before="44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5600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3726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3759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3792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3826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3860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3894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3928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3962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3997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4031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4066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4101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4136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4172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4208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4243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4279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4316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4352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4388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4425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4462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4499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4536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4573</w:t>
            </w:r>
          </w:p>
        </w:tc>
      </w:tr>
      <w:tr>
        <w:trPr>
          <w:trHeight w:val="2107" w:hRule="atLeast"/>
        </w:trPr>
        <w:tc>
          <w:tcPr>
            <w:tcW w:w="4480" w:type="dxa"/>
          </w:tcPr>
          <w:p>
            <w:pPr>
              <w:pStyle w:val="TableParagraph"/>
              <w:ind w:left="242"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5600" w:type="dxa"/>
          </w:tcPr>
          <w:p>
            <w:pPr>
              <w:pStyle w:val="TableParagraph"/>
              <w:tabs>
                <w:tab w:pos="1808" w:val="left" w:leader="none"/>
                <w:tab w:pos="3811" w:val="left" w:leader="none"/>
              </w:tabs>
              <w:spacing w:line="237" w:lineRule="auto" w:before="44"/>
              <w:ind w:left="84" w:right="74"/>
              <w:jc w:val="both"/>
              <w:rPr>
                <w:sz w:val="22"/>
              </w:rPr>
            </w:pPr>
            <w:r>
              <w:rPr>
                <w:sz w:val="22"/>
              </w:rPr>
              <w:t>рассчитывается по формулам, приведенным в методике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rFonts w:ascii="Microsoft Sans Serif" w:hAnsi="Microsoft Sans Serif"/>
                  <w:color w:val="0F6BBF"/>
                  <w:sz w:val="22"/>
                </w:rPr>
                <w:t>Правилам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r>
              <w:rPr>
                <w:sz w:val="22"/>
              </w:rPr>
              <w:t>возмещения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средствами,</w:t>
              <w:tab/>
              <w:t>утвержденным</w:t>
              <w:tab/>
            </w:r>
            <w:hyperlink r:id="rId11"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постановлением</w:t>
              </w:r>
            </w:hyperlink>
            <w:r>
              <w:rPr>
                <w:rFonts w:ascii="Microsoft Sans Serif" w:hAnsi="Microsoft Sans Serif"/>
                <w:color w:val="0F6BBF"/>
                <w:spacing w:val="-57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 от 31 января 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3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line="251" w:lineRule="exact" w:before="0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</w:t>
      </w:r>
    </w:p>
    <w:p>
      <w:pPr>
        <w:spacing w:line="237" w:lineRule="auto" w:before="0"/>
        <w:ind w:left="407" w:right="606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вреда, причиняемого тяжеловесными транспортными средствами при движении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рассчитанным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под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осевую нагрузку 10 т, от превышения допустимых нагрузок на каждую ось транспортного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средства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(для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дорожной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одеждой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капитального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облегченного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типа)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857" w:hRule="atLeast"/>
        </w:trPr>
        <w:tc>
          <w:tcPr>
            <w:tcW w:w="4480" w:type="dxa"/>
          </w:tcPr>
          <w:p>
            <w:pPr>
              <w:pStyle w:val="TableParagraph"/>
              <w:spacing w:line="237" w:lineRule="auto" w:before="44"/>
              <w:ind w:left="244" w:right="238"/>
              <w:rPr>
                <w:sz w:val="22"/>
              </w:rPr>
            </w:pPr>
            <w:r>
              <w:rPr>
                <w:sz w:val="22"/>
              </w:rPr>
              <w:t>Превышение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нагрузок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допустимыми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(проценты)</w:t>
            </w:r>
          </w:p>
        </w:tc>
        <w:tc>
          <w:tcPr>
            <w:tcW w:w="5600" w:type="dxa"/>
          </w:tcPr>
          <w:p>
            <w:pPr>
              <w:pStyle w:val="TableParagraph"/>
              <w:ind w:left="1326"/>
              <w:jc w:val="left"/>
              <w:rPr>
                <w:sz w:val="22"/>
              </w:rPr>
            </w:pPr>
            <w:r>
              <w:rPr>
                <w:sz w:val="22"/>
              </w:rPr>
              <w:t>Размер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км)</w:t>
            </w:r>
          </w:p>
        </w:tc>
      </w:tr>
    </w:tbl>
    <w:p>
      <w:pPr>
        <w:spacing w:after="0"/>
        <w:jc w:val="left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1024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1038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1084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1115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1191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1237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1288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1404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1469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1539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1614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1694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1778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2059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2162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2270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2382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2499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2620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2746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2876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5600" w:type="dxa"/>
          </w:tcPr>
          <w:p>
            <w:pPr>
              <w:pStyle w:val="TableParagraph"/>
              <w:ind w:left="1310" w:right="1307"/>
              <w:rPr>
                <w:sz w:val="22"/>
              </w:rPr>
            </w:pPr>
            <w:r>
              <w:rPr>
                <w:sz w:val="22"/>
              </w:rPr>
              <w:t>ЗОН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3150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3294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3443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3595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3753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3914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4081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4251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4426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4606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4789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4978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5170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5367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5569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5774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5984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6199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6417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6640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6868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7099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7335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7576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7820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8069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8322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8579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8841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9107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9377</w:t>
            </w:r>
          </w:p>
        </w:tc>
      </w:tr>
      <w:tr>
        <w:trPr>
          <w:trHeight w:val="2106" w:hRule="atLeast"/>
        </w:trPr>
        <w:tc>
          <w:tcPr>
            <w:tcW w:w="4480" w:type="dxa"/>
          </w:tcPr>
          <w:p>
            <w:pPr>
              <w:pStyle w:val="TableParagraph"/>
              <w:ind w:left="242"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5600" w:type="dxa"/>
          </w:tcPr>
          <w:p>
            <w:pPr>
              <w:pStyle w:val="TableParagraph"/>
              <w:tabs>
                <w:tab w:pos="1808" w:val="left" w:leader="none"/>
                <w:tab w:pos="3811" w:val="left" w:leader="none"/>
              </w:tabs>
              <w:spacing w:line="237" w:lineRule="auto" w:before="44"/>
              <w:ind w:left="84" w:right="74"/>
              <w:jc w:val="both"/>
              <w:rPr>
                <w:sz w:val="22"/>
              </w:rPr>
            </w:pPr>
            <w:r>
              <w:rPr>
                <w:sz w:val="22"/>
              </w:rPr>
              <w:t>рассчитывается по формулам, приведенным в методике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rFonts w:ascii="Microsoft Sans Serif" w:hAnsi="Microsoft Sans Serif"/>
                  <w:color w:val="0F6BBF"/>
                  <w:sz w:val="22"/>
                </w:rPr>
                <w:t>Правилам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r>
              <w:rPr>
                <w:sz w:val="22"/>
              </w:rPr>
              <w:t>возмещения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средствами,</w:t>
              <w:tab/>
              <w:t>утвержденным</w:t>
              <w:tab/>
            </w:r>
            <w:hyperlink r:id="rId11"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постановлением</w:t>
              </w:r>
            </w:hyperlink>
            <w:r>
              <w:rPr>
                <w:rFonts w:ascii="Microsoft Sans Serif" w:hAnsi="Microsoft Sans Serif"/>
                <w:color w:val="0F6BBF"/>
                <w:spacing w:val="-57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 от 31 января 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4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line="251" w:lineRule="exact" w:before="0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</w:t>
      </w:r>
    </w:p>
    <w:p>
      <w:pPr>
        <w:spacing w:line="237" w:lineRule="auto" w:before="0"/>
        <w:ind w:left="407" w:right="606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вреда, причиняемого тяжеловесными транспортными средствами при движении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рассчитанным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под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осевую нагрузку 10 т, от превышения допустимых нагрузок на каждую ось транспортного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средства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(для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дорожной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одеждой переходного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типа)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856" w:hRule="atLeast"/>
        </w:trPr>
        <w:tc>
          <w:tcPr>
            <w:tcW w:w="4480" w:type="dxa"/>
          </w:tcPr>
          <w:p>
            <w:pPr>
              <w:pStyle w:val="TableParagraph"/>
              <w:spacing w:line="237" w:lineRule="auto" w:before="44"/>
              <w:ind w:left="244" w:right="238"/>
              <w:rPr>
                <w:sz w:val="22"/>
              </w:rPr>
            </w:pPr>
            <w:r>
              <w:rPr>
                <w:sz w:val="22"/>
              </w:rPr>
              <w:t>Превышение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нагрузок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допустимыми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(проценты)</w:t>
            </w:r>
          </w:p>
        </w:tc>
        <w:tc>
          <w:tcPr>
            <w:tcW w:w="5600" w:type="dxa"/>
          </w:tcPr>
          <w:p>
            <w:pPr>
              <w:pStyle w:val="TableParagraph"/>
              <w:ind w:left="1312" w:right="1307"/>
              <w:rPr>
                <w:sz w:val="22"/>
              </w:rPr>
            </w:pPr>
            <w:r>
              <w:rPr>
                <w:sz w:val="22"/>
              </w:rPr>
              <w:t>Размер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км)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949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1058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1077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1096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1115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1134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1154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1173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1193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1213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1233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1253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1273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1293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1313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1334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1396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1417</w:t>
            </w:r>
          </w:p>
        </w:tc>
      </w:tr>
    </w:tbl>
    <w:p>
      <w:pPr>
        <w:spacing w:after="0"/>
        <w:jc w:val="left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1438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1459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1480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1502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1523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1545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1566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1588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1610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1632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1654</w:t>
            </w:r>
          </w:p>
        </w:tc>
      </w:tr>
      <w:tr>
        <w:trPr>
          <w:trHeight w:val="2107" w:hRule="atLeast"/>
        </w:trPr>
        <w:tc>
          <w:tcPr>
            <w:tcW w:w="4480" w:type="dxa"/>
          </w:tcPr>
          <w:p>
            <w:pPr>
              <w:pStyle w:val="TableParagraph"/>
              <w:ind w:left="242"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5600" w:type="dxa"/>
          </w:tcPr>
          <w:p>
            <w:pPr>
              <w:pStyle w:val="TableParagraph"/>
              <w:tabs>
                <w:tab w:pos="1808" w:val="left" w:leader="none"/>
                <w:tab w:pos="3811" w:val="left" w:leader="none"/>
              </w:tabs>
              <w:spacing w:line="237" w:lineRule="auto" w:before="44"/>
              <w:ind w:left="84" w:right="74"/>
              <w:jc w:val="both"/>
              <w:rPr>
                <w:sz w:val="22"/>
              </w:rPr>
            </w:pPr>
            <w:r>
              <w:rPr>
                <w:sz w:val="22"/>
              </w:rPr>
              <w:t>рассчитывается по формулам, приведенным в методике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rFonts w:ascii="Microsoft Sans Serif" w:hAnsi="Microsoft Sans Serif"/>
                  <w:color w:val="0F6BBF"/>
                  <w:sz w:val="22"/>
                </w:rPr>
                <w:t>Правилам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r>
              <w:rPr>
                <w:sz w:val="22"/>
              </w:rPr>
              <w:t>возмещения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средствами,</w:t>
              <w:tab/>
              <w:t>утвержденным</w:t>
              <w:tab/>
            </w:r>
            <w:hyperlink r:id="rId11"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постановлением</w:t>
              </w:r>
            </w:hyperlink>
            <w:r>
              <w:rPr>
                <w:rFonts w:ascii="Microsoft Sans Serif" w:hAnsi="Microsoft Sans Serif"/>
                <w:color w:val="0F6BBF"/>
                <w:spacing w:val="-57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 от 31 января 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5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line="251" w:lineRule="exact" w:before="0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</w:t>
      </w:r>
    </w:p>
    <w:p>
      <w:pPr>
        <w:spacing w:line="237" w:lineRule="auto" w:before="0"/>
        <w:ind w:left="407" w:right="606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вреда, причиняемого тяжеловесными транспортными средствами при движении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рассчитанным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под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осевую нагрузку 11,5 т, от превышения допустимых нагрузок на каждую ось транспортного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средства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857" w:hRule="atLeast"/>
        </w:trPr>
        <w:tc>
          <w:tcPr>
            <w:tcW w:w="4480" w:type="dxa"/>
          </w:tcPr>
          <w:p>
            <w:pPr>
              <w:pStyle w:val="TableParagraph"/>
              <w:spacing w:line="237" w:lineRule="auto" w:before="44"/>
              <w:ind w:left="244" w:right="238"/>
              <w:rPr>
                <w:sz w:val="22"/>
              </w:rPr>
            </w:pPr>
            <w:r>
              <w:rPr>
                <w:sz w:val="22"/>
              </w:rPr>
              <w:t>Превышение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нагрузок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допустимыми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(проценты)</w:t>
            </w:r>
          </w:p>
        </w:tc>
        <w:tc>
          <w:tcPr>
            <w:tcW w:w="5600" w:type="dxa"/>
          </w:tcPr>
          <w:p>
            <w:pPr>
              <w:pStyle w:val="TableParagraph"/>
              <w:ind w:left="1312" w:right="1307"/>
              <w:rPr>
                <w:sz w:val="22"/>
              </w:rPr>
            </w:pPr>
            <w:r>
              <w:rPr>
                <w:sz w:val="22"/>
              </w:rPr>
              <w:t>Размер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км)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5600" w:type="dxa"/>
          </w:tcPr>
          <w:p>
            <w:pPr>
              <w:pStyle w:val="TableParagraph"/>
              <w:ind w:left="2634"/>
              <w:jc w:val="left"/>
              <w:rPr>
                <w:sz w:val="22"/>
              </w:rPr>
            </w:pPr>
            <w:r>
              <w:rPr>
                <w:sz w:val="22"/>
              </w:rPr>
              <w:t>977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1017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1147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1193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1289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1339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1391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1444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1499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1555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1671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1732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1793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1856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1921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2054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2123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2193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2264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2337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2411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2487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2564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2642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2722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left="95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2803</w:t>
            </w:r>
          </w:p>
        </w:tc>
      </w:tr>
    </w:tbl>
    <w:p>
      <w:pPr>
        <w:spacing w:after="0"/>
        <w:jc w:val="left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2885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2969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3054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3140</w:t>
            </w:r>
          </w:p>
        </w:tc>
      </w:tr>
      <w:tr>
        <w:trPr>
          <w:trHeight w:val="2106" w:hRule="atLeast"/>
        </w:trPr>
        <w:tc>
          <w:tcPr>
            <w:tcW w:w="4480" w:type="dxa"/>
          </w:tcPr>
          <w:p>
            <w:pPr>
              <w:pStyle w:val="TableParagraph"/>
              <w:ind w:left="242"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5600" w:type="dxa"/>
          </w:tcPr>
          <w:p>
            <w:pPr>
              <w:pStyle w:val="TableParagraph"/>
              <w:tabs>
                <w:tab w:pos="1808" w:val="left" w:leader="none"/>
                <w:tab w:pos="3811" w:val="left" w:leader="none"/>
              </w:tabs>
              <w:spacing w:line="237" w:lineRule="auto" w:before="44"/>
              <w:ind w:left="84" w:right="74"/>
              <w:jc w:val="both"/>
              <w:rPr>
                <w:sz w:val="22"/>
              </w:rPr>
            </w:pPr>
            <w:r>
              <w:rPr>
                <w:sz w:val="22"/>
              </w:rPr>
              <w:t>рассчитывается по формулам, приведенным в методике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rFonts w:ascii="Microsoft Sans Serif" w:hAnsi="Microsoft Sans Serif"/>
                  <w:color w:val="0F6BBF"/>
                  <w:sz w:val="22"/>
                </w:rPr>
                <w:t>Правилам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r>
              <w:rPr>
                <w:sz w:val="22"/>
              </w:rPr>
              <w:t>возмещения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средствами,</w:t>
              <w:tab/>
              <w:t>утвержденным</w:t>
              <w:tab/>
            </w:r>
            <w:hyperlink r:id="rId11"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постановлением</w:t>
              </w:r>
            </w:hyperlink>
            <w:r>
              <w:rPr>
                <w:rFonts w:ascii="Microsoft Sans Serif" w:hAnsi="Microsoft Sans Serif"/>
                <w:color w:val="0F6BBF"/>
                <w:spacing w:val="-57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 от 31 января 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6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line="251" w:lineRule="exact" w:before="0"/>
        <w:ind w:left="452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Размер</w:t>
      </w:r>
    </w:p>
    <w:p>
      <w:pPr>
        <w:spacing w:line="237" w:lineRule="auto" w:before="0"/>
        <w:ind w:left="562" w:right="760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вреда, причиняемого тяжеловесными транспортными средствами при движении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превышения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допустимой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массы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транспортного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средства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857" w:hRule="atLeast"/>
        </w:trPr>
        <w:tc>
          <w:tcPr>
            <w:tcW w:w="4480" w:type="dxa"/>
          </w:tcPr>
          <w:p>
            <w:pPr>
              <w:pStyle w:val="TableParagraph"/>
              <w:spacing w:line="237" w:lineRule="auto" w:before="44"/>
              <w:ind w:left="243" w:right="238"/>
              <w:rPr>
                <w:sz w:val="22"/>
              </w:rPr>
            </w:pPr>
            <w:r>
              <w:rPr>
                <w:sz w:val="22"/>
              </w:rPr>
              <w:t>Превышение фактической массы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допустимой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(проценты)</w:t>
            </w:r>
          </w:p>
        </w:tc>
        <w:tc>
          <w:tcPr>
            <w:tcW w:w="5600" w:type="dxa"/>
          </w:tcPr>
          <w:p>
            <w:pPr>
              <w:pStyle w:val="TableParagraph"/>
              <w:ind w:left="1312" w:right="1307"/>
              <w:rPr>
                <w:sz w:val="22"/>
              </w:rPr>
            </w:pPr>
            <w:r>
              <w:rPr>
                <w:sz w:val="22"/>
              </w:rPr>
              <w:t>Размер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км)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0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3563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3620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3678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3736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3794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3851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3909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3967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4025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4082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4140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4198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4256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4313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4371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4429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4487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4544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4602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4660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5600" w:type="dxa"/>
          </w:tcPr>
          <w:p>
            <w:pPr>
              <w:pStyle w:val="TableParagraph"/>
              <w:ind w:left="1311" w:right="1307"/>
              <w:rPr>
                <w:sz w:val="22"/>
              </w:rPr>
            </w:pPr>
            <w:r>
              <w:rPr>
                <w:sz w:val="22"/>
              </w:rPr>
              <w:t>4718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4775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4833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4891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4949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5006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5064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5122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5180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5237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5295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5353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5411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5468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5526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5584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5642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5699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5757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5815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5873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5930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5988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6046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6104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6161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6219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6277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6335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6392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6450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6508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6566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6623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6681</w:t>
            </w:r>
          </w:p>
        </w:tc>
      </w:tr>
      <w:tr>
        <w:trPr>
          <w:trHeight w:val="357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6739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6797</w:t>
            </w:r>
          </w:p>
        </w:tc>
      </w:tr>
      <w:tr>
        <w:trPr>
          <w:trHeight w:val="356" w:hRule="atLeast"/>
        </w:trPr>
        <w:tc>
          <w:tcPr>
            <w:tcW w:w="4480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</w:p>
        </w:tc>
        <w:tc>
          <w:tcPr>
            <w:tcW w:w="5600" w:type="dxa"/>
          </w:tcPr>
          <w:p>
            <w:pPr>
              <w:pStyle w:val="TableParagraph"/>
              <w:ind w:left="2579"/>
              <w:jc w:val="left"/>
              <w:rPr>
                <w:sz w:val="22"/>
              </w:rPr>
            </w:pPr>
            <w:r>
              <w:rPr>
                <w:sz w:val="22"/>
              </w:rPr>
              <w:t>6854</w:t>
            </w:r>
          </w:p>
        </w:tc>
      </w:tr>
      <w:tr>
        <w:trPr>
          <w:trHeight w:val="1303" w:hRule="atLeast"/>
        </w:trPr>
        <w:tc>
          <w:tcPr>
            <w:tcW w:w="4480" w:type="dxa"/>
            <w:tcBorders>
              <w:bottom w:val="nil"/>
            </w:tcBorders>
          </w:tcPr>
          <w:p>
            <w:pPr>
              <w:pStyle w:val="TableParagraph"/>
              <w:ind w:left="242" w:right="238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(включительно)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560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33"/>
              <w:ind w:left="84" w:right="74"/>
              <w:jc w:val="both"/>
              <w:rPr>
                <w:sz w:val="22"/>
              </w:rPr>
            </w:pPr>
            <w:r>
              <w:rPr>
                <w:sz w:val="22"/>
              </w:rPr>
              <w:t>рассчитывается по формулам, приведенным в методике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rFonts w:ascii="Microsoft Sans Serif" w:hAnsi="Microsoft Sans Serif"/>
                  <w:color w:val="0F6BBF"/>
                  <w:sz w:val="22"/>
                </w:rPr>
                <w:t>Правилам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r>
              <w:rPr>
                <w:sz w:val="22"/>
              </w:rPr>
              <w:t>возмещения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причиняемого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тяжеловесными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транспортными</w:t>
            </w:r>
          </w:p>
        </w:tc>
      </w:tr>
    </w:tbl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5600"/>
      </w:tblGrid>
      <w:tr>
        <w:trPr>
          <w:trHeight w:val="803" w:hRule="atLeast"/>
        </w:trPr>
        <w:tc>
          <w:tcPr>
            <w:tcW w:w="44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5600" w:type="dxa"/>
            <w:tcBorders>
              <w:top w:val="nil"/>
            </w:tcBorders>
          </w:tcPr>
          <w:p>
            <w:pPr>
              <w:pStyle w:val="TableParagraph"/>
              <w:tabs>
                <w:tab w:pos="1808" w:val="left" w:leader="none"/>
                <w:tab w:pos="3811" w:val="left" w:leader="none"/>
              </w:tabs>
              <w:spacing w:line="237" w:lineRule="auto" w:before="0"/>
              <w:ind w:left="84" w:right="77"/>
              <w:jc w:val="both"/>
              <w:rPr>
                <w:sz w:val="22"/>
              </w:rPr>
            </w:pPr>
            <w:r>
              <w:rPr>
                <w:sz w:val="22"/>
              </w:rPr>
              <w:t>средствами,</w:t>
              <w:tab/>
              <w:t>утвержденным</w:t>
              <w:tab/>
            </w:r>
            <w:hyperlink r:id="rId11"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постановлением</w:t>
              </w:r>
            </w:hyperlink>
            <w:r>
              <w:rPr>
                <w:rFonts w:ascii="Microsoft Sans Serif" w:hAnsi="Microsoft Sans Serif"/>
                <w:color w:val="0F6BBF"/>
                <w:spacing w:val="-57"/>
                <w:sz w:val="22"/>
              </w:rPr>
              <w:t> </w:t>
            </w:r>
            <w:r>
              <w:rPr>
                <w:sz w:val="22"/>
              </w:rPr>
              <w:t>Правительства Российской Федерации от 31 января 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spacing w:line="252" w:lineRule="exact" w:before="93"/>
        <w:ind w:left="8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Примечания: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</w:tabs>
        <w:spacing w:line="237" w:lineRule="auto" w:before="1" w:after="0"/>
        <w:ind w:left="120" w:right="319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дорогам:</w:t>
      </w:r>
    </w:p>
    <w:p>
      <w:pPr>
        <w:pStyle w:val="BodyText"/>
        <w:spacing w:line="237" w:lineRule="auto"/>
        <w:ind w:left="120" w:right="314" w:firstLine="720"/>
        <w:jc w:val="both"/>
      </w:pPr>
      <w:r>
        <w:rPr/>
        <w:t>в связи с неблагоприятными климатическими условиями значения размера вреда увеличиваются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2,9 раза;</w:t>
      </w:r>
    </w:p>
    <w:p>
      <w:pPr>
        <w:pStyle w:val="BodyText"/>
        <w:spacing w:line="237" w:lineRule="auto"/>
        <w:ind w:left="120" w:right="316" w:firstLine="720"/>
        <w:jc w:val="both"/>
      </w:pPr>
      <w:r>
        <w:rPr/>
        <w:t>в случае снижения несущей способности конструктивных элементов автомобильной дороги 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сниженной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размера вреда принимаются без увеличения в 2,9 раза из таблицы с соответствующими типом дороги и</w:t>
      </w:r>
      <w:r>
        <w:rPr>
          <w:spacing w:val="1"/>
        </w:rPr>
        <w:t> </w:t>
      </w:r>
      <w:r>
        <w:rPr/>
        <w:t>значением осевой нагрузки для автомобильной дороги, равным установленному значению предельно</w:t>
      </w:r>
      <w:r>
        <w:rPr>
          <w:spacing w:val="1"/>
        </w:rPr>
        <w:t> </w:t>
      </w:r>
      <w:r>
        <w:rPr/>
        <w:t>допустимой</w:t>
      </w:r>
      <w:r>
        <w:rPr>
          <w:spacing w:val="-2"/>
        </w:rPr>
        <w:t> </w:t>
      </w:r>
      <w:r>
        <w:rPr/>
        <w:t>нагрузки.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превышении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1"/>
          <w:sz w:val="22"/>
        </w:rPr>
        <w:t> </w:t>
      </w:r>
      <w:r>
        <w:rPr>
          <w:sz w:val="22"/>
        </w:rPr>
        <w:t>массы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(включительно) к размеру вреда при превышении значений допустимой массы применяются следующие</w:t>
      </w:r>
      <w:r>
        <w:rPr>
          <w:spacing w:val="-52"/>
          <w:sz w:val="22"/>
        </w:rPr>
        <w:t> </w:t>
      </w:r>
      <w:r>
        <w:rPr>
          <w:sz w:val="22"/>
        </w:rPr>
        <w:t>коэффициенты:</w:t>
      </w:r>
    </w:p>
    <w:p>
      <w:pPr>
        <w:pStyle w:val="BodyText"/>
        <w:spacing w:line="248" w:lineRule="exact"/>
        <w:ind w:left="840"/>
      </w:pPr>
      <w:r>
        <w:rPr/>
        <w:t>по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(включительно)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0,2;</w:t>
      </w:r>
    </w:p>
    <w:p>
      <w:pPr>
        <w:pStyle w:val="BodyText"/>
        <w:spacing w:line="250" w:lineRule="exact"/>
        <w:ind w:left="840"/>
      </w:pPr>
      <w:r>
        <w:rPr/>
        <w:t>с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(включительно)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0,4;</w:t>
      </w:r>
    </w:p>
    <w:p>
      <w:pPr>
        <w:pStyle w:val="BodyText"/>
        <w:spacing w:line="250" w:lineRule="exact"/>
        <w:ind w:left="840"/>
      </w:pPr>
      <w:r>
        <w:rPr/>
        <w:t>с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(включительно)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0,6;</w:t>
      </w:r>
    </w:p>
    <w:p>
      <w:pPr>
        <w:pStyle w:val="BodyText"/>
        <w:spacing w:line="250" w:lineRule="exact"/>
        <w:ind w:left="840"/>
      </w:pPr>
      <w:r>
        <w:rPr/>
        <w:t>с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(включительно)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0,8.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50" w:lineRule="exact" w:before="0" w:after="0"/>
        <w:ind w:left="1060" w:right="0" w:hanging="220"/>
        <w:jc w:val="left"/>
        <w:rPr>
          <w:sz w:val="22"/>
        </w:rPr>
      </w:pPr>
      <w:r>
        <w:rPr>
          <w:sz w:val="22"/>
        </w:rPr>
        <w:t>Размер</w:t>
      </w:r>
      <w:r>
        <w:rPr>
          <w:spacing w:val="-4"/>
          <w:sz w:val="22"/>
        </w:rPr>
        <w:t> </w:t>
      </w:r>
      <w:r>
        <w:rPr>
          <w:sz w:val="22"/>
        </w:rPr>
        <w:t>вреда</w:t>
      </w:r>
      <w:r>
        <w:rPr>
          <w:spacing w:val="-4"/>
          <w:sz w:val="22"/>
        </w:rPr>
        <w:t> </w:t>
      </w:r>
      <w:r>
        <w:rPr>
          <w:sz w:val="22"/>
        </w:rPr>
        <w:t>равен</w:t>
      </w:r>
      <w:r>
        <w:rPr>
          <w:spacing w:val="-3"/>
          <w:sz w:val="22"/>
        </w:rPr>
        <w:t> </w:t>
      </w:r>
      <w:r>
        <w:rPr>
          <w:sz w:val="22"/>
        </w:rPr>
        <w:t>нулю:</w:t>
      </w:r>
    </w:p>
    <w:p>
      <w:pPr>
        <w:pStyle w:val="BodyText"/>
        <w:spacing w:line="237" w:lineRule="auto"/>
        <w:ind w:left="120" w:right="317" w:firstLine="720"/>
        <w:jc w:val="both"/>
      </w:pPr>
      <w:r>
        <w:rPr/>
        <w:t>для транспортных средств, выполняющих работы по государственным контрактам для нужд</w:t>
      </w:r>
      <w:r>
        <w:rPr>
          <w:spacing w:val="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Башкортостан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пользования;</w:t>
      </w:r>
    </w:p>
    <w:p>
      <w:pPr>
        <w:pStyle w:val="BodyText"/>
        <w:spacing w:line="237" w:lineRule="auto"/>
        <w:ind w:left="120" w:right="315" w:firstLine="720"/>
        <w:jc w:val="both"/>
      </w:pPr>
      <w:r>
        <w:rPr/>
        <w:t>для транспортных средств, находящихся в собственности либо в ином пользовании организации,</w:t>
      </w:r>
      <w:r>
        <w:rPr>
          <w:spacing w:val="-52"/>
        </w:rPr>
        <w:t> </w:t>
      </w:r>
      <w:r>
        <w:rPr/>
        <w:t>являющейся субъектом инвестиционной деятельности в отношении инвестиционного проекта, который</w:t>
      </w:r>
      <w:r>
        <w:rPr>
          <w:spacing w:val="1"/>
        </w:rPr>
        <w:t> </w:t>
      </w:r>
      <w:r>
        <w:rPr/>
        <w:t>включен в перечень приоритетных инвестиционных проектов Республики Башкортостан, при 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соглашении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приоритетного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использование автомобильных дорог транспортными средствами, эксплуатируемыми непосредственно</w:t>
      </w:r>
      <w:r>
        <w:rPr>
          <w:spacing w:val="1"/>
        </w:rPr>
        <w:t> </w:t>
      </w:r>
      <w:r>
        <w:rPr/>
        <w:t>для целей реализации инвестиционного проекта, а также период такого использования автомобильных</w:t>
      </w:r>
      <w:r>
        <w:rPr>
          <w:spacing w:val="1"/>
        </w:rPr>
        <w:t> </w:t>
      </w:r>
      <w:r>
        <w:rPr/>
        <w:t>дорог.</w:t>
      </w:r>
    </w:p>
    <w:p>
      <w:pPr>
        <w:pStyle w:val="BodyText"/>
        <w:rPr>
          <w:sz w:val="21"/>
        </w:rPr>
      </w:pPr>
    </w:p>
    <w:p>
      <w:pPr>
        <w:spacing w:line="237" w:lineRule="auto" w:before="1"/>
        <w:ind w:left="6445" w:right="317" w:firstLine="2199"/>
        <w:jc w:val="right"/>
        <w:rPr>
          <w:rFonts w:ascii="Arial" w:hAnsi="Arial"/>
          <w:b/>
          <w:sz w:val="22"/>
        </w:rPr>
      </w:pPr>
      <w:bookmarkStart w:name="_bookmark1" w:id="2"/>
      <w:bookmarkEnd w:id="2"/>
      <w:r>
        <w:rPr/>
      </w:r>
      <w:r>
        <w:rPr>
          <w:rFonts w:ascii="Arial" w:hAnsi="Arial"/>
          <w:b/>
          <w:color w:val="26282D"/>
          <w:spacing w:val="-1"/>
          <w:sz w:val="22"/>
        </w:rPr>
        <w:t>Утверждены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Республики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Башкортостан</w:t>
      </w:r>
    </w:p>
    <w:p>
      <w:pPr>
        <w:spacing w:line="250" w:lineRule="exact" w:before="0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22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декабря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2020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778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1"/>
        <w:ind w:left="451" w:right="65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Величины</w:t>
      </w:r>
    </w:p>
    <w:p>
      <w:pPr>
        <w:spacing w:line="237" w:lineRule="auto" w:before="0"/>
        <w:ind w:left="125" w:right="325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исходных значений размера вреда и значения постоянных коэффициентов для автомобильных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Республики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Башкортостан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значения,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применяемые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в формулах, приведенных в методике расчета размера вреда, причиняемого тяжеловесными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транспортными средствами, предусмотренной в приложении к Правилам возмещения вреда,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причиняемого тяжеловесными транспортными средствами, утвержденным постановлением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Федерации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от 31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января 2020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года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67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2765"/>
        <w:gridCol w:w="1954"/>
        <w:gridCol w:w="1973"/>
      </w:tblGrid>
      <w:tr>
        <w:trPr>
          <w:trHeight w:val="356" w:hRule="atLeast"/>
        </w:trPr>
        <w:tc>
          <w:tcPr>
            <w:tcW w:w="3010" w:type="dxa"/>
            <w:vMerge w:val="restart"/>
          </w:tcPr>
          <w:p>
            <w:pPr>
              <w:pStyle w:val="TableParagraph"/>
              <w:spacing w:line="237" w:lineRule="auto" w:before="44"/>
              <w:ind w:left="127" w:right="120"/>
              <w:rPr>
                <w:sz w:val="22"/>
              </w:rPr>
            </w:pPr>
            <w:r>
              <w:rPr>
                <w:sz w:val="22"/>
              </w:rPr>
              <w:t>Нормативная нагрузка на ось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транспортного средства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автомобильной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дороги,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</w:t>
            </w:r>
          </w:p>
        </w:tc>
        <w:tc>
          <w:tcPr>
            <w:tcW w:w="2765" w:type="dxa"/>
            <w:vMerge w:val="restart"/>
          </w:tcPr>
          <w:p>
            <w:pPr>
              <w:pStyle w:val="TableParagraph"/>
              <w:spacing w:line="237" w:lineRule="auto" w:before="44"/>
              <w:ind w:left="92" w:right="89" w:firstLine="3"/>
              <w:rPr>
                <w:sz w:val="22"/>
              </w:rPr>
            </w:pPr>
            <w:r>
              <w:rPr>
                <w:sz w:val="22"/>
              </w:rPr>
              <w:t>Исходное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 вреда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превышении допустимых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нагрузок на ось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транспортного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автомобильной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дороги,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руб./100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км</w:t>
            </w:r>
          </w:p>
        </w:tc>
        <w:tc>
          <w:tcPr>
            <w:tcW w:w="3927" w:type="dxa"/>
            <w:gridSpan w:val="2"/>
          </w:tcPr>
          <w:p>
            <w:pPr>
              <w:pStyle w:val="TableParagraph"/>
              <w:ind w:left="654"/>
              <w:jc w:val="left"/>
              <w:rPr>
                <w:sz w:val="22"/>
              </w:rPr>
            </w:pPr>
            <w:r>
              <w:rPr>
                <w:sz w:val="22"/>
              </w:rPr>
              <w:t>Постоянные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коэффициенты</w:t>
            </w:r>
          </w:p>
        </w:tc>
      </w:tr>
      <w:tr>
        <w:trPr>
          <w:trHeight w:val="1495" w:hRule="atLeast"/>
        </w:trPr>
        <w:tc>
          <w:tcPr>
            <w:tcW w:w="3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97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>
        <w:trPr>
          <w:trHeight w:val="357" w:hRule="atLeast"/>
        </w:trPr>
        <w:tc>
          <w:tcPr>
            <w:tcW w:w="301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65" w:type="dxa"/>
          </w:tcPr>
          <w:p>
            <w:pPr>
              <w:pStyle w:val="TableParagraph"/>
              <w:ind w:left="1142" w:right="1138"/>
              <w:rPr>
                <w:sz w:val="22"/>
              </w:rPr>
            </w:pPr>
            <w:r>
              <w:rPr>
                <w:sz w:val="22"/>
              </w:rPr>
              <w:t>8500</w:t>
            </w:r>
          </w:p>
        </w:tc>
        <w:tc>
          <w:tcPr>
            <w:tcW w:w="1954" w:type="dxa"/>
          </w:tcPr>
          <w:p>
            <w:pPr>
              <w:pStyle w:val="TableParagraph"/>
              <w:ind w:left="0" w:right="832"/>
              <w:jc w:val="right"/>
              <w:rPr>
                <w:sz w:val="22"/>
              </w:rPr>
            </w:pPr>
            <w:r>
              <w:rPr>
                <w:sz w:val="22"/>
              </w:rPr>
              <w:t>7,3</w:t>
            </w:r>
          </w:p>
        </w:tc>
        <w:tc>
          <w:tcPr>
            <w:tcW w:w="1973" w:type="dxa"/>
          </w:tcPr>
          <w:p>
            <w:pPr>
              <w:pStyle w:val="TableParagraph"/>
              <w:ind w:left="773" w:right="769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</w:tr>
      <w:tr>
        <w:trPr>
          <w:trHeight w:val="356" w:hRule="atLeast"/>
        </w:trPr>
        <w:tc>
          <w:tcPr>
            <w:tcW w:w="3010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65" w:type="dxa"/>
          </w:tcPr>
          <w:p>
            <w:pPr>
              <w:pStyle w:val="TableParagraph"/>
              <w:ind w:left="1142" w:right="1138"/>
              <w:rPr>
                <w:sz w:val="22"/>
              </w:rPr>
            </w:pPr>
            <w:r>
              <w:rPr>
                <w:sz w:val="22"/>
              </w:rPr>
              <w:t>1840</w:t>
            </w:r>
          </w:p>
        </w:tc>
        <w:tc>
          <w:tcPr>
            <w:tcW w:w="1954" w:type="dxa"/>
          </w:tcPr>
          <w:p>
            <w:pPr>
              <w:pStyle w:val="TableParagraph"/>
              <w:ind w:left="0" w:right="777"/>
              <w:jc w:val="right"/>
              <w:rPr>
                <w:sz w:val="22"/>
              </w:rPr>
            </w:pPr>
            <w:r>
              <w:rPr>
                <w:sz w:val="22"/>
              </w:rPr>
              <w:t>37,7</w:t>
            </w:r>
          </w:p>
        </w:tc>
        <w:tc>
          <w:tcPr>
            <w:tcW w:w="1973" w:type="dxa"/>
          </w:tcPr>
          <w:p>
            <w:pPr>
              <w:pStyle w:val="TableParagraph"/>
              <w:ind w:left="773" w:right="769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rPr>
          <w:trHeight w:val="357" w:hRule="atLeast"/>
        </w:trPr>
        <w:tc>
          <w:tcPr>
            <w:tcW w:w="3010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2765" w:type="dxa"/>
          </w:tcPr>
          <w:p>
            <w:pPr>
              <w:pStyle w:val="TableParagraph"/>
              <w:ind w:left="1142" w:right="1138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954" w:type="dxa"/>
          </w:tcPr>
          <w:p>
            <w:pPr>
              <w:pStyle w:val="TableParagraph"/>
              <w:ind w:left="0" w:right="777"/>
              <w:jc w:val="right"/>
              <w:rPr>
                <w:sz w:val="22"/>
              </w:rPr>
            </w:pPr>
            <w:r>
              <w:rPr>
                <w:sz w:val="22"/>
              </w:rPr>
              <w:t>39,5</w:t>
            </w:r>
          </w:p>
        </w:tc>
        <w:tc>
          <w:tcPr>
            <w:tcW w:w="1973" w:type="dxa"/>
          </w:tcPr>
          <w:p>
            <w:pPr>
              <w:pStyle w:val="TableParagraph"/>
              <w:ind w:left="773" w:right="769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00" w:h="16840"/>
      <w:pgMar w:header="289" w:footer="511" w:top="700" w:bottom="700" w:left="8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9978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15.03.2024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9973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9968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pt;margin-top:13.447266pt;width:489.9pt;height:13.2pt;mso-position-horizontal-relative:page;mso-position-vertical-relative:page;z-index:-169984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Республики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Башкортостан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22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декабря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2020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778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определении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0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22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" w:hanging="2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24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400120900/0" TargetMode="External"/><Relationship Id="rId8" Type="http://schemas.openxmlformats.org/officeDocument/2006/relationships/hyperlink" Target="https://internet.garant.ru/document/redirect/12157004/1207" TargetMode="External"/><Relationship Id="rId9" Type="http://schemas.openxmlformats.org/officeDocument/2006/relationships/hyperlink" Target="https://internet.garant.ru/document/redirect/17720904/6310" TargetMode="External"/><Relationship Id="rId10" Type="http://schemas.openxmlformats.org/officeDocument/2006/relationships/hyperlink" Target="https://internet.garant.ru/document/redirect/73495159/1000" TargetMode="External"/><Relationship Id="rId11" Type="http://schemas.openxmlformats.org/officeDocument/2006/relationships/hyperlink" Target="https://internet.garant.ru/document/redirect/73495159/0" TargetMode="External"/><Relationship Id="rId12" Type="http://schemas.openxmlformats.org/officeDocument/2006/relationships/hyperlink" Target="https://internet.garant.ru/document/redirect/17725276/0" TargetMode="External"/><Relationship Id="rId13" Type="http://schemas.openxmlformats.org/officeDocument/2006/relationships/hyperlink" Target="https://internet.garant.ru/document/redirect/17763559/0" TargetMode="External"/><Relationship Id="rId14" Type="http://schemas.openxmlformats.org/officeDocument/2006/relationships/hyperlink" Target="https://internet.garant.ru/document/redirect/17766215/0" TargetMode="External"/><Relationship Id="rId15" Type="http://schemas.openxmlformats.org/officeDocument/2006/relationships/hyperlink" Target="https://internet.garant.ru/document/redirect/17784284/0" TargetMode="External"/><Relationship Id="rId16" Type="http://schemas.openxmlformats.org/officeDocument/2006/relationships/hyperlink" Target="https://internet.garant.ru/document/redirect/44212636/0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2024-03-15T05:53:01Z</dcterms:created>
  <dcterms:modified xsi:type="dcterms:W3CDTF">2024-03-15T05:53:01Z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2024-03-15T00:00:00Z</vt:filetime>
  </property>
</Properties>
</file>